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23" w:rsidRDefault="001B1023" w:rsidP="001B1023">
      <w:pPr>
        <w:pStyle w:val="Naslov1"/>
        <w:numPr>
          <w:ilvl w:val="0"/>
          <w:numId w:val="0"/>
        </w:numPr>
        <w:ind w:left="432" w:hanging="432"/>
        <w:jc w:val="center"/>
        <w:rPr>
          <w:sz w:val="32"/>
          <w:szCs w:val="32"/>
        </w:rPr>
      </w:pPr>
      <w:r>
        <w:rPr>
          <w:sz w:val="32"/>
          <w:szCs w:val="32"/>
        </w:rPr>
        <w:t>OSNOVNA GLAZBENA ŠKOLA METKOVIĆ</w:t>
      </w:r>
    </w:p>
    <w:p w:rsidR="001B1023" w:rsidRDefault="001B1023" w:rsidP="001B1023">
      <w:pPr>
        <w:pStyle w:val="Odlomakpopisa"/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Metković, Kralja Zvonimira 7, </w:t>
      </w:r>
      <w:hyperlink r:id="rId6" w:history="1">
        <w:r>
          <w:rPr>
            <w:rStyle w:val="Hiperveza"/>
            <w:sz w:val="20"/>
            <w:szCs w:val="20"/>
          </w:rPr>
          <w:t>Tel: 020/683-515</w:t>
        </w:r>
      </w:hyperlink>
      <w:r>
        <w:rPr>
          <w:sz w:val="20"/>
          <w:szCs w:val="20"/>
        </w:rPr>
        <w:t>, Tel/Fax: 020/683-516</w:t>
      </w:r>
    </w:p>
    <w:p w:rsidR="001B1023" w:rsidRDefault="001B1023" w:rsidP="001B1023">
      <w:pPr>
        <w:pStyle w:val="Odlomakpopisa"/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MB: 2399741, IBAN: HR61 2484 0081 1047 6911 1</w:t>
      </w:r>
    </w:p>
    <w:p w:rsidR="001B1023" w:rsidRPr="00E3584C" w:rsidRDefault="001B1023" w:rsidP="001B1023">
      <w:pPr>
        <w:pStyle w:val="Odlomakpopisa"/>
        <w:numPr>
          <w:ilvl w:val="0"/>
          <w:numId w:val="2"/>
        </w:numPr>
        <w:jc w:val="center"/>
        <w:rPr>
          <w:sz w:val="20"/>
          <w:szCs w:val="20"/>
        </w:rPr>
      </w:pPr>
      <w:r w:rsidRPr="00E3584C">
        <w:rPr>
          <w:sz w:val="20"/>
          <w:szCs w:val="20"/>
        </w:rPr>
        <w:t>OIB: 96385161672</w:t>
      </w:r>
    </w:p>
    <w:p w:rsidR="001B1023" w:rsidRPr="002065A5" w:rsidRDefault="001B1023" w:rsidP="001B1023">
      <w:pPr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Klasa: 400-04/24-01/1</w:t>
      </w:r>
    </w:p>
    <w:p w:rsidR="001B1023" w:rsidRPr="002065A5" w:rsidRDefault="001B1023" w:rsidP="001B1023">
      <w:pPr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 xml:space="preserve">Urbroj: </w:t>
      </w:r>
      <w:r w:rsidR="0014038E" w:rsidRPr="002065A5">
        <w:rPr>
          <w:rFonts w:ascii="Times New Roman" w:hAnsi="Times New Roman" w:cs="Times New Roman"/>
          <w:sz w:val="24"/>
          <w:szCs w:val="24"/>
        </w:rPr>
        <w:t>2117-143/3-24-2</w:t>
      </w:r>
    </w:p>
    <w:p w:rsidR="001B1023" w:rsidRPr="002065A5" w:rsidRDefault="001B1023" w:rsidP="001B1023">
      <w:pPr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Metković, 30.01.2024. godine</w:t>
      </w:r>
    </w:p>
    <w:p w:rsidR="001B1023" w:rsidRPr="002065A5" w:rsidRDefault="001B1023" w:rsidP="001B1023">
      <w:pPr>
        <w:rPr>
          <w:rFonts w:ascii="Times New Roman" w:hAnsi="Times New Roman" w:cs="Times New Roman"/>
          <w:sz w:val="24"/>
          <w:szCs w:val="24"/>
        </w:rPr>
      </w:pPr>
    </w:p>
    <w:p w:rsidR="00E3584C" w:rsidRPr="002065A5" w:rsidRDefault="00E3584C" w:rsidP="001B1023">
      <w:pPr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4038E" w:rsidRPr="002065A5">
        <w:rPr>
          <w:rFonts w:ascii="Times New Roman" w:hAnsi="Times New Roman" w:cs="Times New Roman"/>
          <w:b/>
          <w:sz w:val="24"/>
          <w:szCs w:val="24"/>
        </w:rPr>
        <w:t>Bilješke uz financijsko izvješće</w:t>
      </w:r>
    </w:p>
    <w:p w:rsidR="001B1023" w:rsidRPr="002065A5" w:rsidRDefault="001B1023" w:rsidP="001B1023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5A5">
        <w:rPr>
          <w:rFonts w:ascii="Times New Roman" w:hAnsi="Times New Roman" w:cs="Times New Roman"/>
          <w:b/>
          <w:sz w:val="24"/>
          <w:szCs w:val="24"/>
        </w:rPr>
        <w:t>za razdoblje od 01. siječnja do 31. prosinca 2023. godine</w:t>
      </w:r>
    </w:p>
    <w:p w:rsidR="001B1023" w:rsidRDefault="001B1023" w:rsidP="001B1023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A5" w:rsidRPr="002065A5" w:rsidRDefault="002065A5" w:rsidP="001B1023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23" w:rsidRPr="002065A5" w:rsidRDefault="001B1023" w:rsidP="001B10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A5">
        <w:rPr>
          <w:rFonts w:ascii="Times New Roman" w:hAnsi="Times New Roman" w:cs="Times New Roman"/>
          <w:b/>
          <w:sz w:val="24"/>
          <w:szCs w:val="24"/>
        </w:rPr>
        <w:t>BILJEŠKE UZ OBRAZAC PR-RAS</w:t>
      </w:r>
    </w:p>
    <w:p w:rsidR="001B1023" w:rsidRPr="002065A5" w:rsidRDefault="001B1023" w:rsidP="001B1023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U razdoblju siječanj – prosinac 2023. godine, Škola je ostvarila ukupan pr</w:t>
      </w:r>
      <w:r w:rsidR="00E435DB" w:rsidRPr="002065A5">
        <w:rPr>
          <w:rFonts w:ascii="Times New Roman" w:hAnsi="Times New Roman" w:cs="Times New Roman"/>
          <w:sz w:val="24"/>
          <w:szCs w:val="24"/>
        </w:rPr>
        <w:t>ihod u iznosu od 501.282,33 EUR</w:t>
      </w:r>
      <w:r w:rsidRPr="002065A5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1B1023" w:rsidRPr="002065A5" w:rsidRDefault="001B1023" w:rsidP="001B102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Tekuće pomoći proračunskim korisnicima iz proračuna koji im nije nadležan  …………………………………………</w:t>
      </w:r>
      <w:r w:rsidR="002065A5">
        <w:rPr>
          <w:rFonts w:ascii="Times New Roman" w:hAnsi="Times New Roman" w:cs="Times New Roman"/>
          <w:sz w:val="24"/>
          <w:szCs w:val="24"/>
        </w:rPr>
        <w:t>……………………..</w:t>
      </w:r>
      <w:r w:rsidR="00E435DB" w:rsidRPr="002065A5">
        <w:rPr>
          <w:rFonts w:ascii="Times New Roman" w:hAnsi="Times New Roman" w:cs="Times New Roman"/>
          <w:sz w:val="24"/>
          <w:szCs w:val="24"/>
        </w:rPr>
        <w:t>. 441.220,63 EUR</w:t>
      </w:r>
    </w:p>
    <w:p w:rsidR="001B1023" w:rsidRPr="002065A5" w:rsidRDefault="001B1023" w:rsidP="001B102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Prihodi po posebnim propisima odnose se na participacije učenika i najam instrumenata ……………</w:t>
      </w:r>
      <w:r w:rsidR="002065A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435DB" w:rsidRPr="002065A5">
        <w:rPr>
          <w:rFonts w:ascii="Times New Roman" w:hAnsi="Times New Roman" w:cs="Times New Roman"/>
          <w:sz w:val="24"/>
          <w:szCs w:val="24"/>
        </w:rPr>
        <w:t>……… 33.677,32 EUR</w:t>
      </w:r>
    </w:p>
    <w:p w:rsidR="001B1023" w:rsidRPr="002065A5" w:rsidRDefault="001B1023" w:rsidP="001B102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Prihodi iz nadležnog proračun</w:t>
      </w:r>
      <w:r w:rsidR="002065A5">
        <w:rPr>
          <w:rFonts w:ascii="Times New Roman" w:hAnsi="Times New Roman" w:cs="Times New Roman"/>
          <w:sz w:val="24"/>
          <w:szCs w:val="24"/>
        </w:rPr>
        <w:t>a – DNŽ  ……………</w:t>
      </w:r>
      <w:r w:rsidR="00E435DB" w:rsidRPr="002065A5">
        <w:rPr>
          <w:rFonts w:ascii="Times New Roman" w:hAnsi="Times New Roman" w:cs="Times New Roman"/>
          <w:sz w:val="24"/>
          <w:szCs w:val="24"/>
        </w:rPr>
        <w:t>…………</w:t>
      </w:r>
      <w:r w:rsidR="002065A5">
        <w:rPr>
          <w:rFonts w:ascii="Times New Roman" w:hAnsi="Times New Roman" w:cs="Times New Roman"/>
          <w:sz w:val="24"/>
          <w:szCs w:val="24"/>
        </w:rPr>
        <w:t>..</w:t>
      </w:r>
      <w:r w:rsidR="00E435DB" w:rsidRPr="002065A5">
        <w:rPr>
          <w:rFonts w:ascii="Times New Roman" w:hAnsi="Times New Roman" w:cs="Times New Roman"/>
          <w:sz w:val="24"/>
          <w:szCs w:val="24"/>
        </w:rPr>
        <w:t xml:space="preserve"> 20.320,00 EUR</w:t>
      </w:r>
    </w:p>
    <w:p w:rsidR="00E435DB" w:rsidRPr="002065A5" w:rsidRDefault="00E435DB" w:rsidP="001B1023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 xml:space="preserve">Tekuće pomoći temeljem prijenosa EU sredstava (Erasmus+ </w:t>
      </w:r>
      <w:r w:rsidR="00E3584C" w:rsidRPr="002065A5">
        <w:rPr>
          <w:rFonts w:ascii="Times New Roman" w:hAnsi="Times New Roman" w:cs="Times New Roman"/>
          <w:sz w:val="24"/>
          <w:szCs w:val="24"/>
        </w:rPr>
        <w:t>projek</w:t>
      </w:r>
      <w:r w:rsidRPr="002065A5">
        <w:rPr>
          <w:rFonts w:ascii="Times New Roman" w:hAnsi="Times New Roman" w:cs="Times New Roman"/>
          <w:sz w:val="24"/>
          <w:szCs w:val="24"/>
        </w:rPr>
        <w:t>t)</w:t>
      </w:r>
    </w:p>
    <w:p w:rsidR="00E435DB" w:rsidRPr="002065A5" w:rsidRDefault="002065A5" w:rsidP="00E435DB">
      <w:pPr>
        <w:pStyle w:val="Odlomakpopisa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E435DB" w:rsidRPr="002065A5">
        <w:rPr>
          <w:rFonts w:ascii="Times New Roman" w:hAnsi="Times New Roman" w:cs="Times New Roman"/>
          <w:sz w:val="24"/>
          <w:szCs w:val="24"/>
        </w:rPr>
        <w:t>………………………… 6.064,00 EUR</w:t>
      </w:r>
    </w:p>
    <w:p w:rsidR="00E435DB" w:rsidRPr="002065A5" w:rsidRDefault="001B1023" w:rsidP="00E43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Pomoći proračunskim korisnicima iz prorač</w:t>
      </w:r>
      <w:r w:rsidR="00E435DB" w:rsidRPr="002065A5">
        <w:rPr>
          <w:rFonts w:ascii="Times New Roman" w:hAnsi="Times New Roman" w:cs="Times New Roman"/>
          <w:sz w:val="24"/>
          <w:szCs w:val="24"/>
        </w:rPr>
        <w:t>una koji im nije nadležan odnose</w:t>
      </w:r>
      <w:r w:rsidRPr="002065A5">
        <w:rPr>
          <w:rFonts w:ascii="Times New Roman" w:hAnsi="Times New Roman" w:cs="Times New Roman"/>
          <w:sz w:val="24"/>
          <w:szCs w:val="24"/>
        </w:rPr>
        <w:t xml:space="preserve"> se na prihode od MZO za plaće i druga primanja za zaposlenike</w:t>
      </w:r>
      <w:r w:rsidR="00E435DB" w:rsidRPr="002065A5">
        <w:rPr>
          <w:rFonts w:ascii="Times New Roman" w:hAnsi="Times New Roman" w:cs="Times New Roman"/>
          <w:sz w:val="24"/>
          <w:szCs w:val="24"/>
        </w:rPr>
        <w:t>.</w:t>
      </w:r>
      <w:r w:rsidRPr="002065A5">
        <w:rPr>
          <w:rFonts w:ascii="Times New Roman" w:hAnsi="Times New Roman" w:cs="Times New Roman"/>
          <w:sz w:val="24"/>
          <w:szCs w:val="24"/>
        </w:rPr>
        <w:t xml:space="preserve"> </w:t>
      </w:r>
      <w:r w:rsidR="00E3584C" w:rsidRPr="002065A5">
        <w:rPr>
          <w:rFonts w:ascii="Times New Roman" w:hAnsi="Times New Roman" w:cs="Times New Roman"/>
          <w:sz w:val="24"/>
          <w:szCs w:val="24"/>
        </w:rPr>
        <w:t>Prihodi od Ministarstva veći su u odnosu na prošlu godinu zbog povećanja koeficijenta zaposlenika, osnovice za obračun plaće te materijalnih prava. Iz istog razloga imamo i porast ugovora o djelu.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Prihodi iz pror</w:t>
      </w:r>
      <w:r w:rsidR="00E3584C" w:rsidRPr="002065A5">
        <w:rPr>
          <w:rFonts w:ascii="Times New Roman" w:hAnsi="Times New Roman" w:cs="Times New Roman"/>
          <w:sz w:val="24"/>
          <w:szCs w:val="24"/>
        </w:rPr>
        <w:t>ačuna su sredstva primljena od Ž</w:t>
      </w:r>
      <w:r w:rsidRPr="002065A5">
        <w:rPr>
          <w:rFonts w:ascii="Times New Roman" w:hAnsi="Times New Roman" w:cs="Times New Roman"/>
          <w:sz w:val="24"/>
          <w:szCs w:val="24"/>
        </w:rPr>
        <w:t>upanije.</w:t>
      </w:r>
      <w:r w:rsidR="00E3584C" w:rsidRPr="00206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84C" w:rsidRPr="002065A5" w:rsidRDefault="00E3584C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 xml:space="preserve">Prihodi Erasmus+ projekta namijenjeni su mobilnosti učenika i nastavnika. Dio je utrošen po uplati, a dio će se isplatiti pri sljedećim putovanjima. </w:t>
      </w:r>
    </w:p>
    <w:p w:rsidR="001B1023" w:rsidRPr="002065A5" w:rsidRDefault="00E3584C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Svi prihodi</w:t>
      </w:r>
      <w:r w:rsidR="001B1023" w:rsidRPr="002065A5">
        <w:rPr>
          <w:rFonts w:ascii="Times New Roman" w:hAnsi="Times New Roman" w:cs="Times New Roman"/>
          <w:sz w:val="24"/>
          <w:szCs w:val="24"/>
        </w:rPr>
        <w:t xml:space="preserve"> utrošeni su namjenski i u skladu s planom. </w:t>
      </w:r>
    </w:p>
    <w:p w:rsidR="00E3584C" w:rsidRPr="002065A5" w:rsidRDefault="00E3584C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84C" w:rsidRPr="002065A5" w:rsidRDefault="00E3584C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lastRenderedPageBreak/>
        <w:t>Ukupni rashodi i izdaci za ra</w:t>
      </w:r>
      <w:r w:rsidR="00E3584C" w:rsidRPr="002065A5">
        <w:rPr>
          <w:rFonts w:ascii="Times New Roman" w:hAnsi="Times New Roman" w:cs="Times New Roman"/>
          <w:sz w:val="24"/>
          <w:szCs w:val="24"/>
        </w:rPr>
        <w:t xml:space="preserve">zdoblje siječanj – prosinac 2023. godine iznose </w:t>
      </w:r>
      <w:r w:rsidR="00647130">
        <w:rPr>
          <w:rFonts w:ascii="Times New Roman" w:hAnsi="Times New Roman" w:cs="Times New Roman"/>
          <w:sz w:val="24"/>
          <w:szCs w:val="24"/>
        </w:rPr>
        <w:t>445.235,6</w:t>
      </w:r>
      <w:r w:rsidR="00576433" w:rsidRPr="002065A5">
        <w:rPr>
          <w:rFonts w:ascii="Times New Roman" w:hAnsi="Times New Roman" w:cs="Times New Roman"/>
          <w:sz w:val="24"/>
          <w:szCs w:val="24"/>
        </w:rPr>
        <w:t>6 EUR</w:t>
      </w:r>
      <w:r w:rsidRPr="002065A5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1B1023" w:rsidRPr="002065A5" w:rsidRDefault="001B1023" w:rsidP="001B1023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Rashodi za zaposlene …</w:t>
      </w:r>
      <w:r w:rsidR="002065A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76433" w:rsidRPr="002065A5">
        <w:rPr>
          <w:rFonts w:ascii="Times New Roman" w:hAnsi="Times New Roman" w:cs="Times New Roman"/>
          <w:sz w:val="24"/>
          <w:szCs w:val="24"/>
        </w:rPr>
        <w:t>. 374.990,62 EUR</w:t>
      </w:r>
    </w:p>
    <w:p w:rsidR="001B1023" w:rsidRPr="002065A5" w:rsidRDefault="001B1023" w:rsidP="001B1023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2065A5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647130">
        <w:rPr>
          <w:rFonts w:ascii="Times New Roman" w:hAnsi="Times New Roman" w:cs="Times New Roman"/>
          <w:sz w:val="24"/>
          <w:szCs w:val="24"/>
        </w:rPr>
        <w:t>…. 69.173,15</w:t>
      </w:r>
      <w:r w:rsidR="00576433" w:rsidRPr="002065A5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1B1023" w:rsidRPr="002065A5" w:rsidRDefault="001B1023" w:rsidP="001B1023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Financijski rashodi …</w:t>
      </w:r>
      <w:r w:rsidR="002065A5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576433" w:rsidRPr="002065A5">
        <w:rPr>
          <w:rFonts w:ascii="Times New Roman" w:hAnsi="Times New Roman" w:cs="Times New Roman"/>
          <w:sz w:val="24"/>
          <w:szCs w:val="24"/>
        </w:rPr>
        <w:t>. 1.071.89 EUR</w:t>
      </w:r>
    </w:p>
    <w:p w:rsidR="001B1023" w:rsidRPr="002065A5" w:rsidRDefault="001B1023" w:rsidP="001B1023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Rashodi za nabavu nefinancijs</w:t>
      </w:r>
      <w:r w:rsidR="002065A5">
        <w:rPr>
          <w:rFonts w:ascii="Times New Roman" w:hAnsi="Times New Roman" w:cs="Times New Roman"/>
          <w:sz w:val="24"/>
          <w:szCs w:val="24"/>
        </w:rPr>
        <w:t>ke imovine……………..</w:t>
      </w:r>
      <w:r w:rsidR="00576433" w:rsidRPr="002065A5">
        <w:rPr>
          <w:rFonts w:ascii="Times New Roman" w:hAnsi="Times New Roman" w:cs="Times New Roman"/>
          <w:sz w:val="24"/>
          <w:szCs w:val="24"/>
        </w:rPr>
        <w:t>………. 18.513,27 EUR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 xml:space="preserve">Rashodi za zaposlene povećani su u odnosu na prošlu godinu. Razlog su povećana osnovica, </w:t>
      </w:r>
      <w:r w:rsidR="00576433" w:rsidRPr="002065A5">
        <w:rPr>
          <w:rFonts w:ascii="Times New Roman" w:hAnsi="Times New Roman" w:cs="Times New Roman"/>
          <w:sz w:val="24"/>
          <w:szCs w:val="24"/>
        </w:rPr>
        <w:t xml:space="preserve">koeficijent zaposlenika te </w:t>
      </w:r>
      <w:r w:rsidRPr="002065A5">
        <w:rPr>
          <w:rFonts w:ascii="Times New Roman" w:hAnsi="Times New Roman" w:cs="Times New Roman"/>
          <w:sz w:val="24"/>
          <w:szCs w:val="24"/>
        </w:rPr>
        <w:t>materijalna prava za zaposlenike (regres, božćnica, dar za dijete).</w:t>
      </w:r>
    </w:p>
    <w:p w:rsidR="007F13EB" w:rsidRPr="002065A5" w:rsidRDefault="007F13EB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Materijalni rashodi odnose se na mjesečne „fiksne troškove“ (trošak struje, vode, telefona, komunalne usluge, najam prostora, računalne sluge…).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Nefinancijska imovina odnose se na kupovinu glazbenih instrumenata i oprem</w:t>
      </w:r>
      <w:r w:rsidR="00576433" w:rsidRPr="002065A5">
        <w:rPr>
          <w:rFonts w:ascii="Times New Roman" w:hAnsi="Times New Roman" w:cs="Times New Roman"/>
          <w:sz w:val="24"/>
          <w:szCs w:val="24"/>
        </w:rPr>
        <w:t>e za potrebe Škole (bubnjevi, flauta</w:t>
      </w:r>
      <w:r w:rsidR="007F13EB" w:rsidRPr="002065A5">
        <w:rPr>
          <w:rFonts w:ascii="Times New Roman" w:hAnsi="Times New Roman" w:cs="Times New Roman"/>
          <w:sz w:val="24"/>
          <w:szCs w:val="24"/>
        </w:rPr>
        <w:t>), kupnju opreme za grijanje i hlađenje (klima) te izradu projektne dokumentacije (građevinska dozvola - 3. faza).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Škola nema primljenih ni danih zajmova i kredita.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Višak prihoda raspoloživ u sljedećem</w:t>
      </w:r>
      <w:r w:rsidR="00647130">
        <w:rPr>
          <w:rFonts w:ascii="Times New Roman" w:hAnsi="Times New Roman" w:cs="Times New Roman"/>
          <w:sz w:val="24"/>
          <w:szCs w:val="24"/>
        </w:rPr>
        <w:t xml:space="preserve"> razdoblju iznosi 108.801,43</w:t>
      </w:r>
      <w:r w:rsidR="005B0AE7" w:rsidRPr="002065A5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A5">
        <w:rPr>
          <w:rFonts w:ascii="Times New Roman" w:hAnsi="Times New Roman" w:cs="Times New Roman"/>
          <w:b/>
          <w:sz w:val="24"/>
          <w:szCs w:val="24"/>
        </w:rPr>
        <w:t>BILJEŠKE UZ OBRAZAC BILANCA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Stanje novčanih sr</w:t>
      </w:r>
      <w:r w:rsidR="005B0AE7" w:rsidRPr="002065A5">
        <w:rPr>
          <w:rFonts w:ascii="Times New Roman" w:hAnsi="Times New Roman" w:cs="Times New Roman"/>
          <w:sz w:val="24"/>
          <w:szCs w:val="24"/>
        </w:rPr>
        <w:t>edstava na dan 31. prosinca 2023. godine iznosi 74.748,51 EUR</w:t>
      </w:r>
      <w:r w:rsidRPr="002065A5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1B1023" w:rsidRPr="002065A5" w:rsidRDefault="002065A5" w:rsidP="001B1023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Novac na računu škole </w:t>
      </w:r>
      <w:r w:rsidR="001B1023" w:rsidRPr="002065A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B0AE7" w:rsidRPr="002065A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7</w:t>
      </w:r>
      <w:r w:rsidR="005B0AE7" w:rsidRPr="002065A5">
        <w:rPr>
          <w:rFonts w:ascii="Times New Roman" w:hAnsi="Times New Roman" w:cs="Times New Roman"/>
          <w:sz w:val="24"/>
          <w:szCs w:val="24"/>
        </w:rPr>
        <w:t>4.564,98 EUR</w:t>
      </w:r>
    </w:p>
    <w:p w:rsidR="002065A5" w:rsidRPr="00647130" w:rsidRDefault="002065A5" w:rsidP="00647130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Novac u blagajni  …</w:t>
      </w:r>
      <w:r w:rsidR="005B0AE7" w:rsidRPr="002065A5">
        <w:rPr>
          <w:rFonts w:ascii="Times New Roman" w:hAnsi="Times New Roman" w:cs="Times New Roman"/>
          <w:sz w:val="24"/>
          <w:szCs w:val="24"/>
        </w:rPr>
        <w:t>…………………………………………………….… 183,53 EUR</w:t>
      </w:r>
    </w:p>
    <w:p w:rsidR="002065A5" w:rsidRDefault="005B0AE7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Kontinuirani ras</w:t>
      </w:r>
      <w:r w:rsidR="00647130">
        <w:rPr>
          <w:rFonts w:ascii="Times New Roman" w:hAnsi="Times New Roman" w:cs="Times New Roman"/>
          <w:sz w:val="24"/>
          <w:szCs w:val="24"/>
        </w:rPr>
        <w:t>hodi budućeg razdoblja iznose 73.251,68</w:t>
      </w:r>
      <w:r w:rsidRPr="002065A5">
        <w:rPr>
          <w:rFonts w:ascii="Times New Roman" w:hAnsi="Times New Roman" w:cs="Times New Roman"/>
          <w:sz w:val="24"/>
          <w:szCs w:val="24"/>
        </w:rPr>
        <w:t xml:space="preserve"> EUR, a odnose se na plaće i mjesečne račune za prosinac 2023. godine. </w:t>
      </w:r>
    </w:p>
    <w:p w:rsidR="002065A5" w:rsidRPr="002065A5" w:rsidRDefault="002065A5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A5">
        <w:rPr>
          <w:rFonts w:ascii="Times New Roman" w:hAnsi="Times New Roman" w:cs="Times New Roman"/>
          <w:b/>
          <w:sz w:val="24"/>
          <w:szCs w:val="24"/>
        </w:rPr>
        <w:t xml:space="preserve">BILJEŠKE UZ OBRAZAC RAS – FUNKCIJSKI 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Rashodi prema funkcijskoj klasifikaciji ukupno iznose</w:t>
      </w:r>
      <w:r w:rsidR="000345C9">
        <w:rPr>
          <w:rFonts w:ascii="Times New Roman" w:hAnsi="Times New Roman" w:cs="Times New Roman"/>
          <w:sz w:val="24"/>
          <w:szCs w:val="24"/>
        </w:rPr>
        <w:t xml:space="preserve"> 463.748,93</w:t>
      </w:r>
      <w:r w:rsidR="00385CE9" w:rsidRPr="002065A5">
        <w:rPr>
          <w:rFonts w:ascii="Times New Roman" w:hAnsi="Times New Roman" w:cs="Times New Roman"/>
          <w:sz w:val="24"/>
          <w:szCs w:val="24"/>
        </w:rPr>
        <w:t xml:space="preserve"> EUR</w:t>
      </w:r>
      <w:r w:rsidRPr="002065A5">
        <w:rPr>
          <w:rFonts w:ascii="Times New Roman" w:hAnsi="Times New Roman" w:cs="Times New Roman"/>
          <w:sz w:val="24"/>
          <w:szCs w:val="24"/>
        </w:rPr>
        <w:t>, a odnose se na:</w:t>
      </w:r>
    </w:p>
    <w:p w:rsidR="001B1023" w:rsidRPr="002065A5" w:rsidRDefault="001B1023" w:rsidP="001B1023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 xml:space="preserve">Rashodi za zaposlene iznose </w:t>
      </w:r>
      <w:r w:rsidR="00385CE9" w:rsidRPr="002065A5">
        <w:rPr>
          <w:rFonts w:ascii="Times New Roman" w:hAnsi="Times New Roman" w:cs="Times New Roman"/>
          <w:sz w:val="24"/>
          <w:szCs w:val="24"/>
        </w:rPr>
        <w:t>374.990,62 EUR</w:t>
      </w:r>
    </w:p>
    <w:p w:rsidR="001B1023" w:rsidRPr="002065A5" w:rsidRDefault="001B1023" w:rsidP="001B1023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Materija</w:t>
      </w:r>
      <w:r w:rsidR="000345C9">
        <w:rPr>
          <w:rFonts w:ascii="Times New Roman" w:hAnsi="Times New Roman" w:cs="Times New Roman"/>
          <w:sz w:val="24"/>
          <w:szCs w:val="24"/>
        </w:rPr>
        <w:t>lni rashodi iznose 69.173,15</w:t>
      </w:r>
      <w:r w:rsidR="00385CE9" w:rsidRPr="002065A5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1B1023" w:rsidRPr="002065A5" w:rsidRDefault="001B1023" w:rsidP="001B1023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Financ</w:t>
      </w:r>
      <w:r w:rsidR="00385CE9" w:rsidRPr="002065A5">
        <w:rPr>
          <w:rFonts w:ascii="Times New Roman" w:hAnsi="Times New Roman" w:cs="Times New Roman"/>
          <w:sz w:val="24"/>
          <w:szCs w:val="24"/>
        </w:rPr>
        <w:t>ijski rashodi iznose 1.071,89 EUR</w:t>
      </w:r>
    </w:p>
    <w:p w:rsidR="001B1023" w:rsidRDefault="001B1023" w:rsidP="001B1023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Rashodi</w:t>
      </w:r>
      <w:r w:rsidR="00385CE9" w:rsidRPr="002065A5">
        <w:rPr>
          <w:rFonts w:ascii="Times New Roman" w:hAnsi="Times New Roman" w:cs="Times New Roman"/>
          <w:sz w:val="24"/>
          <w:szCs w:val="24"/>
        </w:rPr>
        <w:t xml:space="preserve"> za nabavu dugotrajne imovine iznose 18.513,27 EUR</w:t>
      </w:r>
      <w:r w:rsidRPr="002065A5">
        <w:rPr>
          <w:rFonts w:ascii="Times New Roman" w:hAnsi="Times New Roman" w:cs="Times New Roman"/>
          <w:sz w:val="24"/>
          <w:szCs w:val="24"/>
        </w:rPr>
        <w:t>.</w:t>
      </w:r>
    </w:p>
    <w:p w:rsidR="002065A5" w:rsidRDefault="002065A5" w:rsidP="002065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5A5" w:rsidRDefault="002065A5" w:rsidP="002065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5A5" w:rsidRDefault="002065A5" w:rsidP="002065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30" w:rsidRPr="002065A5" w:rsidRDefault="00647130" w:rsidP="002065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A5">
        <w:rPr>
          <w:rFonts w:ascii="Times New Roman" w:hAnsi="Times New Roman" w:cs="Times New Roman"/>
          <w:b/>
          <w:sz w:val="24"/>
          <w:szCs w:val="24"/>
        </w:rPr>
        <w:lastRenderedPageBreak/>
        <w:t>BILJEŠKE UZ OBRAZAC P-VRIO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Obrazac nije popunjen jer nisu nabavljena osnovna sredstva.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5A5">
        <w:rPr>
          <w:rFonts w:ascii="Times New Roman" w:hAnsi="Times New Roman" w:cs="Times New Roman"/>
          <w:b/>
          <w:sz w:val="24"/>
          <w:szCs w:val="24"/>
        </w:rPr>
        <w:t>BILJEŠKE UZ OBRAZAC OBVEZE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Stanje na kraju izvještajnog razdoblja iznosi:</w:t>
      </w:r>
    </w:p>
    <w:p w:rsidR="001B1023" w:rsidRPr="002065A5" w:rsidRDefault="001B1023" w:rsidP="001B1023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Obveze z</w:t>
      </w:r>
      <w:r w:rsidR="00385CE9" w:rsidRPr="002065A5">
        <w:rPr>
          <w:rFonts w:ascii="Times New Roman" w:hAnsi="Times New Roman" w:cs="Times New Roman"/>
          <w:sz w:val="24"/>
          <w:szCs w:val="24"/>
        </w:rPr>
        <w:t>a materijalne rashode za 12/2023</w:t>
      </w:r>
      <w:r w:rsidRPr="002065A5">
        <w:rPr>
          <w:rFonts w:ascii="Times New Roman" w:hAnsi="Times New Roman" w:cs="Times New Roman"/>
          <w:sz w:val="24"/>
          <w:szCs w:val="24"/>
        </w:rPr>
        <w:t xml:space="preserve"> i plaće</w:t>
      </w:r>
      <w:r w:rsidR="00385CE9" w:rsidRPr="002065A5">
        <w:rPr>
          <w:rFonts w:ascii="Times New Roman" w:hAnsi="Times New Roman" w:cs="Times New Roman"/>
          <w:sz w:val="24"/>
          <w:szCs w:val="24"/>
        </w:rPr>
        <w:t xml:space="preserve"> za 12/2023</w:t>
      </w:r>
      <w:r w:rsidRPr="002065A5">
        <w:rPr>
          <w:rFonts w:ascii="Times New Roman" w:hAnsi="Times New Roman" w:cs="Times New Roman"/>
          <w:sz w:val="24"/>
          <w:szCs w:val="24"/>
        </w:rPr>
        <w:t xml:space="preserve"> iznose </w:t>
      </w:r>
      <w:r w:rsidR="00647130">
        <w:rPr>
          <w:rFonts w:ascii="Times New Roman" w:hAnsi="Times New Roman" w:cs="Times New Roman"/>
          <w:sz w:val="24"/>
          <w:szCs w:val="24"/>
        </w:rPr>
        <w:t>73.251,68</w:t>
      </w:r>
      <w:bookmarkStart w:id="0" w:name="_GoBack"/>
      <w:bookmarkEnd w:id="0"/>
      <w:r w:rsidR="00385CE9" w:rsidRPr="002065A5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E9" w:rsidRPr="002065A5" w:rsidRDefault="00385CE9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E9" w:rsidRPr="002065A5" w:rsidRDefault="00385CE9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Računovođa:                                                                                                          Ravnatelj:</w:t>
      </w:r>
    </w:p>
    <w:p w:rsidR="001B1023" w:rsidRPr="002065A5" w:rsidRDefault="001B1023" w:rsidP="001B10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  ______________________</w:t>
      </w:r>
    </w:p>
    <w:p w:rsidR="001B1023" w:rsidRPr="002065A5" w:rsidRDefault="005B0AE7" w:rsidP="001B10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A5">
        <w:rPr>
          <w:rFonts w:ascii="Times New Roman" w:hAnsi="Times New Roman" w:cs="Times New Roman"/>
          <w:sz w:val="24"/>
          <w:szCs w:val="24"/>
        </w:rPr>
        <w:t>Julija Zonjić</w:t>
      </w:r>
      <w:r w:rsidR="001B1023" w:rsidRPr="002065A5">
        <w:rPr>
          <w:rFonts w:ascii="Times New Roman" w:hAnsi="Times New Roman" w:cs="Times New Roman"/>
          <w:sz w:val="24"/>
          <w:szCs w:val="24"/>
        </w:rPr>
        <w:t>, dipl. oec.                                                                               Zvonko Knežević, prof.</w:t>
      </w: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Pr="002065A5" w:rsidRDefault="001B1023" w:rsidP="001B10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23" w:rsidRDefault="001B1023" w:rsidP="001B1023">
      <w:pPr>
        <w:spacing w:line="276" w:lineRule="auto"/>
        <w:jc w:val="both"/>
        <w:rPr>
          <w:b/>
          <w:sz w:val="24"/>
          <w:szCs w:val="24"/>
        </w:rPr>
      </w:pPr>
    </w:p>
    <w:p w:rsidR="001B1023" w:rsidRDefault="001B1023" w:rsidP="001B1023">
      <w:pPr>
        <w:spacing w:line="276" w:lineRule="auto"/>
        <w:jc w:val="both"/>
        <w:rPr>
          <w:sz w:val="24"/>
          <w:szCs w:val="24"/>
        </w:rPr>
      </w:pPr>
    </w:p>
    <w:p w:rsidR="001B1023" w:rsidRDefault="001B1023" w:rsidP="001B1023">
      <w:pPr>
        <w:spacing w:line="276" w:lineRule="auto"/>
        <w:jc w:val="both"/>
        <w:rPr>
          <w:sz w:val="24"/>
          <w:szCs w:val="24"/>
        </w:rPr>
      </w:pPr>
    </w:p>
    <w:p w:rsidR="001B1023" w:rsidRDefault="001B1023" w:rsidP="001B1023">
      <w:pPr>
        <w:spacing w:line="276" w:lineRule="auto"/>
        <w:jc w:val="both"/>
        <w:rPr>
          <w:sz w:val="24"/>
          <w:szCs w:val="24"/>
        </w:rPr>
      </w:pPr>
    </w:p>
    <w:p w:rsidR="001B1023" w:rsidRDefault="001B1023" w:rsidP="001B1023">
      <w:pPr>
        <w:spacing w:line="276" w:lineRule="auto"/>
        <w:jc w:val="both"/>
        <w:rPr>
          <w:sz w:val="24"/>
          <w:szCs w:val="24"/>
        </w:rPr>
      </w:pPr>
    </w:p>
    <w:p w:rsidR="001B1023" w:rsidRDefault="001B1023" w:rsidP="001B1023">
      <w:pPr>
        <w:pStyle w:val="Odlomakpopisa"/>
        <w:spacing w:line="240" w:lineRule="auto"/>
        <w:jc w:val="both"/>
        <w:rPr>
          <w:sz w:val="24"/>
          <w:szCs w:val="24"/>
        </w:rPr>
      </w:pPr>
    </w:p>
    <w:p w:rsidR="001B1023" w:rsidRDefault="001B1023" w:rsidP="001B1023">
      <w:pPr>
        <w:spacing w:line="240" w:lineRule="auto"/>
        <w:jc w:val="both"/>
        <w:rPr>
          <w:b/>
          <w:sz w:val="24"/>
          <w:szCs w:val="24"/>
        </w:rPr>
      </w:pPr>
    </w:p>
    <w:p w:rsidR="001B1023" w:rsidRDefault="001B1023" w:rsidP="001B1023">
      <w:pPr>
        <w:spacing w:line="240" w:lineRule="auto"/>
        <w:jc w:val="both"/>
        <w:rPr>
          <w:b/>
          <w:sz w:val="24"/>
          <w:szCs w:val="24"/>
        </w:rPr>
      </w:pPr>
    </w:p>
    <w:p w:rsidR="005A7A54" w:rsidRDefault="005A7A54"/>
    <w:sectPr w:rsidR="005A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097C"/>
    <w:multiLevelType w:val="hybridMultilevel"/>
    <w:tmpl w:val="1862DB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E85971"/>
    <w:multiLevelType w:val="hybridMultilevel"/>
    <w:tmpl w:val="1034D9A0"/>
    <w:lvl w:ilvl="0" w:tplc="E57088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6D25"/>
    <w:multiLevelType w:val="hybridMultilevel"/>
    <w:tmpl w:val="C5D8A1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0D53"/>
    <w:multiLevelType w:val="hybridMultilevel"/>
    <w:tmpl w:val="E0327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0121C"/>
    <w:multiLevelType w:val="hybridMultilevel"/>
    <w:tmpl w:val="C038990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47F66"/>
    <w:multiLevelType w:val="hybridMultilevel"/>
    <w:tmpl w:val="88220E7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D2D29"/>
    <w:multiLevelType w:val="hybridMultilevel"/>
    <w:tmpl w:val="8A30D02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5A143A"/>
    <w:multiLevelType w:val="hybridMultilevel"/>
    <w:tmpl w:val="358CC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23"/>
    <w:rsid w:val="000345C9"/>
    <w:rsid w:val="0014038E"/>
    <w:rsid w:val="001B1023"/>
    <w:rsid w:val="002065A5"/>
    <w:rsid w:val="00385CE9"/>
    <w:rsid w:val="00576433"/>
    <w:rsid w:val="005A7A54"/>
    <w:rsid w:val="005B0AE7"/>
    <w:rsid w:val="00647130"/>
    <w:rsid w:val="007F13EB"/>
    <w:rsid w:val="00AE0F66"/>
    <w:rsid w:val="00E3350F"/>
    <w:rsid w:val="00E3584C"/>
    <w:rsid w:val="00E4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DADBF-3FF6-4C56-AD50-7E193234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23"/>
    <w:pPr>
      <w:spacing w:line="254" w:lineRule="auto"/>
    </w:pPr>
    <w:rPr>
      <w:rFonts w:eastAsiaTheme="minorEastAsia"/>
      <w:noProof/>
      <w:lang w:eastAsia="ja-JP"/>
    </w:rPr>
  </w:style>
  <w:style w:type="paragraph" w:styleId="Naslov1">
    <w:name w:val="heading 1"/>
    <w:basedOn w:val="Normal"/>
    <w:next w:val="Normal"/>
    <w:link w:val="Naslov1Char"/>
    <w:uiPriority w:val="9"/>
    <w:qFormat/>
    <w:rsid w:val="001B1023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1023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102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10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10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10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10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10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10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102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102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1023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1023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1023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1023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1023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10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10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styleId="Hiperveza">
    <w:name w:val="Hyperlink"/>
    <w:basedOn w:val="Zadanifontodlomka"/>
    <w:uiPriority w:val="99"/>
    <w:semiHidden/>
    <w:unhideWhenUsed/>
    <w:rsid w:val="001B102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B1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F66"/>
    <w:rPr>
      <w:rFonts w:ascii="Segoe UI" w:eastAsiaTheme="minorEastAsia" w:hAnsi="Segoe UI" w:cs="Segoe UI"/>
      <w:noProof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20/683-5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A2235-7977-4B02-9BA3-A4118F96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OGŠ Metković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Pažin</dc:creator>
  <cp:keywords/>
  <dc:description/>
  <cp:lastModifiedBy>Vesa Pažin</cp:lastModifiedBy>
  <cp:revision>4</cp:revision>
  <cp:lastPrinted>2024-02-08T10:11:00Z</cp:lastPrinted>
  <dcterms:created xsi:type="dcterms:W3CDTF">2024-01-31T08:13:00Z</dcterms:created>
  <dcterms:modified xsi:type="dcterms:W3CDTF">2024-02-08T10:12:00Z</dcterms:modified>
</cp:coreProperties>
</file>