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3E" w:rsidRPr="0061563E" w:rsidRDefault="0061563E" w:rsidP="0061563E">
      <w:pPr>
        <w:keepNext/>
        <w:keepLines/>
        <w:pBdr>
          <w:bottom w:val="single" w:sz="4" w:space="1" w:color="595959" w:themeColor="text1" w:themeTint="A6"/>
        </w:pBdr>
        <w:spacing w:before="360" w:line="254" w:lineRule="auto"/>
        <w:ind w:left="432" w:hanging="432"/>
        <w:jc w:val="center"/>
        <w:outlineLvl w:val="0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2"/>
          <w:szCs w:val="32"/>
          <w:lang w:eastAsia="ja-JP"/>
        </w:rPr>
      </w:pPr>
      <w:bookmarkStart w:id="0" w:name="_GoBack"/>
      <w:bookmarkEnd w:id="0"/>
      <w:r w:rsidRPr="0061563E"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2"/>
          <w:szCs w:val="32"/>
          <w:lang w:eastAsia="ja-JP"/>
        </w:rPr>
        <w:t>OSNOVNA GLAZBENA ŠKOLA METKOVIĆ</w:t>
      </w:r>
    </w:p>
    <w:p w:rsidR="0061563E" w:rsidRPr="0061563E" w:rsidRDefault="0061563E" w:rsidP="0061563E">
      <w:pPr>
        <w:numPr>
          <w:ilvl w:val="0"/>
          <w:numId w:val="1"/>
        </w:numPr>
        <w:spacing w:line="254" w:lineRule="auto"/>
        <w:contextualSpacing/>
        <w:jc w:val="center"/>
        <w:rPr>
          <w:rFonts w:eastAsiaTheme="minorEastAsia"/>
          <w:sz w:val="20"/>
          <w:szCs w:val="20"/>
          <w:lang w:eastAsia="ja-JP"/>
        </w:rPr>
      </w:pPr>
      <w:r w:rsidRPr="0061563E">
        <w:rPr>
          <w:rFonts w:eastAsiaTheme="minorEastAsia"/>
          <w:sz w:val="20"/>
          <w:szCs w:val="20"/>
          <w:lang w:eastAsia="ja-JP"/>
        </w:rPr>
        <w:t xml:space="preserve">Metković, Kralja Zvonimira 7, </w:t>
      </w:r>
      <w:hyperlink r:id="rId5" w:history="1">
        <w:r w:rsidRPr="0061563E">
          <w:rPr>
            <w:rFonts w:eastAsiaTheme="minorEastAsia"/>
            <w:color w:val="0563C1" w:themeColor="hyperlink"/>
            <w:sz w:val="20"/>
            <w:szCs w:val="20"/>
            <w:u w:val="single"/>
            <w:lang w:eastAsia="ja-JP"/>
          </w:rPr>
          <w:t>Tel: 020/683-515</w:t>
        </w:r>
      </w:hyperlink>
      <w:r w:rsidRPr="0061563E">
        <w:rPr>
          <w:rFonts w:eastAsiaTheme="minorEastAsia"/>
          <w:sz w:val="20"/>
          <w:szCs w:val="20"/>
          <w:lang w:eastAsia="ja-JP"/>
        </w:rPr>
        <w:t>, Tel/Fax: 020/683-516</w:t>
      </w:r>
    </w:p>
    <w:p w:rsidR="0061563E" w:rsidRPr="0061563E" w:rsidRDefault="0061563E" w:rsidP="0061563E">
      <w:pPr>
        <w:numPr>
          <w:ilvl w:val="0"/>
          <w:numId w:val="1"/>
        </w:numPr>
        <w:spacing w:line="254" w:lineRule="auto"/>
        <w:contextualSpacing/>
        <w:jc w:val="center"/>
        <w:rPr>
          <w:rFonts w:eastAsiaTheme="minorEastAsia"/>
          <w:sz w:val="20"/>
          <w:szCs w:val="20"/>
          <w:lang w:eastAsia="ja-JP"/>
        </w:rPr>
      </w:pPr>
      <w:r w:rsidRPr="0061563E">
        <w:rPr>
          <w:rFonts w:eastAsiaTheme="minorEastAsia"/>
          <w:sz w:val="20"/>
          <w:szCs w:val="20"/>
          <w:lang w:eastAsia="ja-JP"/>
        </w:rPr>
        <w:t>MB: 2399741, IBAN: HR61 2484 0081 1047 6911 1</w:t>
      </w:r>
    </w:p>
    <w:p w:rsidR="0061563E" w:rsidRPr="0061563E" w:rsidRDefault="0061563E" w:rsidP="0061563E">
      <w:pPr>
        <w:numPr>
          <w:ilvl w:val="0"/>
          <w:numId w:val="1"/>
        </w:numPr>
        <w:spacing w:line="254" w:lineRule="auto"/>
        <w:contextualSpacing/>
        <w:jc w:val="center"/>
        <w:rPr>
          <w:rFonts w:eastAsiaTheme="minorEastAsia"/>
          <w:sz w:val="20"/>
          <w:szCs w:val="20"/>
          <w:lang w:eastAsia="ja-JP"/>
        </w:rPr>
      </w:pPr>
      <w:r w:rsidRPr="0061563E">
        <w:rPr>
          <w:rFonts w:eastAsiaTheme="minorEastAsia"/>
          <w:sz w:val="20"/>
          <w:szCs w:val="20"/>
          <w:lang w:eastAsia="ja-JP"/>
        </w:rPr>
        <w:t>OIB: 96385161672</w:t>
      </w:r>
    </w:p>
    <w:p w:rsidR="0061563E" w:rsidRPr="0061563E" w:rsidRDefault="0061563E" w:rsidP="0061563E">
      <w:pPr>
        <w:spacing w:line="254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Klasa: </w:t>
      </w:r>
      <w:r w:rsidR="002117A8" w:rsidRPr="002117A8">
        <w:rPr>
          <w:rFonts w:ascii="Times New Roman" w:eastAsiaTheme="minorEastAsia" w:hAnsi="Times New Roman" w:cs="Times New Roman"/>
          <w:sz w:val="24"/>
          <w:szCs w:val="24"/>
          <w:lang w:eastAsia="ja-JP"/>
        </w:rPr>
        <w:t>400-04/25-01/2</w:t>
      </w:r>
    </w:p>
    <w:p w:rsidR="0061563E" w:rsidRPr="0061563E" w:rsidRDefault="0061563E" w:rsidP="0061563E">
      <w:pPr>
        <w:spacing w:line="254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Urbroj: </w:t>
      </w:r>
      <w:r w:rsidR="002117A8" w:rsidRPr="002117A8">
        <w:rPr>
          <w:rFonts w:ascii="Times New Roman" w:eastAsiaTheme="minorEastAsia" w:hAnsi="Times New Roman" w:cs="Times New Roman"/>
          <w:sz w:val="24"/>
          <w:szCs w:val="24"/>
          <w:lang w:eastAsia="ja-JP"/>
        </w:rPr>
        <w:t>2117-143/3-25-1</w:t>
      </w:r>
    </w:p>
    <w:p w:rsidR="0061563E" w:rsidRPr="0061563E" w:rsidRDefault="0061563E" w:rsidP="0061563E">
      <w:pPr>
        <w:spacing w:line="254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Metković, 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30.01.2025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. godine</w:t>
      </w:r>
    </w:p>
    <w:p w:rsidR="0061563E" w:rsidRPr="0061563E" w:rsidRDefault="0061563E" w:rsidP="0061563E">
      <w:pPr>
        <w:spacing w:line="254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54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                                           </w:t>
      </w:r>
      <w:r w:rsidRPr="0061563E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Bilješke uz financijsko izvješće</w:t>
      </w:r>
    </w:p>
    <w:p w:rsidR="0061563E" w:rsidRPr="0061563E" w:rsidRDefault="0061563E" w:rsidP="0061563E">
      <w:pPr>
        <w:spacing w:line="240" w:lineRule="auto"/>
        <w:ind w:left="142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za razdoblje od 0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1. siječnja do 31. prosinca 2024</w:t>
      </w:r>
      <w:r w:rsidRPr="0061563E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. godine</w:t>
      </w:r>
    </w:p>
    <w:p w:rsidR="0061563E" w:rsidRPr="0061563E" w:rsidRDefault="0061563E" w:rsidP="0061563E">
      <w:pPr>
        <w:spacing w:line="240" w:lineRule="auto"/>
        <w:ind w:left="142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40" w:lineRule="auto"/>
        <w:ind w:left="142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BILJEŠKE UZ OBRAZAC PR-RAS</w:t>
      </w:r>
    </w:p>
    <w:p w:rsidR="0061563E" w:rsidRPr="0061563E" w:rsidRDefault="0061563E" w:rsidP="0061563E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U ra</w:t>
      </w:r>
      <w:r w:rsidRP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>zdoblju siječanj – prosinac 2024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godine, Škola je ostvarila ukupan prihod u iznosu od </w:t>
      </w:r>
      <w:r w:rsidR="00BB4C03" w:rsidRP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601.663,65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 i to:</w:t>
      </w:r>
    </w:p>
    <w:p w:rsidR="0061563E" w:rsidRPr="0061563E" w:rsidRDefault="0061563E" w:rsidP="0061563E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Tekuće pomoći proračunskim korisnicima iz proračuna koji im nije nadležan  ………………………………………………………………... 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547.261,52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1563E" w:rsidRPr="0061563E" w:rsidRDefault="0061563E" w:rsidP="0061563E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Prihodi po posebnim propisima odnose se na participacije učenika i najam instrumenata …………………………………………………… 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34.408,70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1563E" w:rsidRPr="0061563E" w:rsidRDefault="0061563E" w:rsidP="0061563E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Prihodi iz nadležnog proračuna – DNŽ  ……………………….. 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19.993,00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9B602E" w:rsidRDefault="009B602E" w:rsidP="0061563E">
      <w:pPr>
        <w:spacing w:line="276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Pomoći proračunskim korisnicima iz proračuna koji im nije nadležan odnose se na prihode od MZO za plaće i druga primanja za zaposlenike. Prihodi od Ministarstva veći su u odnosu na prošlu godinu zbog povećanja koeficijenta zaposlenika, osnovice za obračun plaće te materijalnih prava. Iz istog razloga imamo i porast ugovora o djelu.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Prihodi iz proračuna su sredstva primljena od Županije. 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Svi prihodi utrošeni su namjenski i u skladu s planom. </w:t>
      </w:r>
    </w:p>
    <w:p w:rsid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9B602E" w:rsidRDefault="009B602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9B602E" w:rsidRPr="0061563E" w:rsidRDefault="009B602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Ukupni rashodi i izdaci za ra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zdoblje siječanj – prosinac 2024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godine iznose 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>610.603,41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EUR i to:</w:t>
      </w:r>
    </w:p>
    <w:p w:rsidR="0061563E" w:rsidRPr="0061563E" w:rsidRDefault="0061563E" w:rsidP="0061563E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Rashodi za zaposlene …………………………………………. 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>505.064,11</w:t>
      </w:r>
      <w:r w:rsidRPr="0061563E"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  <w:t xml:space="preserve">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1563E" w:rsidRPr="0061563E" w:rsidRDefault="0061563E" w:rsidP="0061563E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Materijalni rashodi 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…………………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……………………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>..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…. 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>.104.224,42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1563E" w:rsidRPr="0061563E" w:rsidRDefault="0061563E" w:rsidP="0061563E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Financijski rashodi ……………………………………………....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>1.314,88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1563E" w:rsidRPr="0061563E" w:rsidRDefault="0061563E" w:rsidP="0061563E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Rashodi za nabavu nefinancijske imovine……………..………. 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>26.217,86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Rashodi za zaposlene povećani su u odnosu na prošlu godinu. Razlog su povećana osnovica, koeficijent zaposlenika te materijalna prava za zaposlenike (regres, božćnica, dar za dijete).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Materijalni rashodi odnose se na mjesečne „fiksne troškove“ (trošak struje, vode, telefona, komunalne usluge, najam prostora, računalne sluge…).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Nefinancijska imovina odnose se na kupovinu glazbenih instrumenata i opreme za potrebe Škole, kupnju oprem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e za grijanje i hlađenje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te izradu projektne dokume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ntacije (građevinska dozvola - 4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. faza).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Škola nema primljenih ni danih zajmova i kredita.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Višak prihoda raspoloživ u sljedećem razdoblju iznosi </w:t>
      </w:r>
      <w:r w:rsidR="00D851F3">
        <w:rPr>
          <w:rFonts w:ascii="Times New Roman" w:eastAsiaTheme="minorEastAsia" w:hAnsi="Times New Roman" w:cs="Times New Roman"/>
          <w:sz w:val="24"/>
          <w:szCs w:val="24"/>
          <w:lang w:eastAsia="ja-JP"/>
        </w:rPr>
        <w:t>73.101,2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>3</w:t>
      </w:r>
      <w:r w:rsidR="00D851F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EUR.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BILJEŠKE UZ OBRAZAC BILANCA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Stanje novčanih sr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edstava na dan 31. prosinca 2024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godine iznosi </w:t>
      </w:r>
      <w:r w:rsidR="00BB4C03" w:rsidRP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>44.026,60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EUR i to:</w:t>
      </w:r>
    </w:p>
    <w:p w:rsidR="0061563E" w:rsidRPr="0061563E" w:rsidRDefault="0061563E" w:rsidP="0061563E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Novac na računu škole …………………………………………………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43.916,32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1563E" w:rsidRPr="0061563E" w:rsidRDefault="0061563E" w:rsidP="0061563E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Novac u blagajni  ……………………………………………………….… 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>110,28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EUR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Kontinuirani rashodi budućeg razdoblja iznose </w:t>
      </w:r>
      <w:r w:rsidR="00BB4C03" w:rsidRP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77.309,55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EUR, a odnose se na plaće i 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mjesečne račune za prosinac 2024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godine. 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 xml:space="preserve">BILJEŠKE UZ OBRAZAC RAS – FUNKCIJSKI 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Rashodi prema funkcijskoj klasifikaciji ukupno iznose </w:t>
      </w:r>
      <w:r w:rsidR="00BB4C03" w:rsidRP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636.821,27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EUR, a odnose se na:</w:t>
      </w:r>
    </w:p>
    <w:p w:rsidR="0061563E" w:rsidRPr="0061563E" w:rsidRDefault="0061563E" w:rsidP="0061563E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Rashodi za zaposlene iznose </w:t>
      </w:r>
      <w:r w:rsidR="00BB4C03" w:rsidRP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505.064,11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</w:t>
      </w:r>
    </w:p>
    <w:p w:rsidR="0061563E" w:rsidRPr="0061563E" w:rsidRDefault="0061563E" w:rsidP="0061563E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Materijalni rashodi iznose </w:t>
      </w:r>
      <w:r w:rsidR="00BB4C03" w:rsidRP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>104.224,42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EUR</w:t>
      </w:r>
    </w:p>
    <w:p w:rsidR="0061563E" w:rsidRPr="0061563E" w:rsidRDefault="0061563E" w:rsidP="0061563E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Financijski rashodi iznose 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>1.314,88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EUR</w:t>
      </w:r>
    </w:p>
    <w:p w:rsidR="0061563E" w:rsidRPr="0061563E" w:rsidRDefault="0061563E" w:rsidP="0061563E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Rashodi za nabavu dugotrajne imovine iznose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26.217,86</w:t>
      </w:r>
      <w:r w:rsidRPr="0061563E">
        <w:rPr>
          <w:rFonts w:ascii="Times New Roman" w:eastAsiaTheme="minorEastAsia" w:hAnsi="Times New Roman" w:cs="Times New Roman"/>
          <w:color w:val="FF0000"/>
          <w:sz w:val="24"/>
          <w:szCs w:val="24"/>
          <w:lang w:eastAsia="ja-JP"/>
        </w:rPr>
        <w:t xml:space="preserve">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EUR.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lastRenderedPageBreak/>
        <w:t>BILJEŠKE UZ OBRAZAC P-VRIO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Obrazac nije popunjen jer nisu nabavljena osnovna sredstva.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BILJEŠKE UZ OBRAZAC OBVEZE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Stanje na kraju izvještajnog razdoblja iznosi:</w:t>
      </w:r>
    </w:p>
    <w:p w:rsidR="0061563E" w:rsidRPr="0061563E" w:rsidRDefault="0061563E" w:rsidP="00BB4C03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Obveze z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a materijalne rashode za 12/2024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i plaće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za 12/2024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iznose </w:t>
      </w:r>
      <w:r w:rsidR="00BB4C0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77.309,55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EUR.</w:t>
      </w: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61563E" w:rsidRPr="0061563E" w:rsidRDefault="0061563E" w:rsidP="0061563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Računovođa:                                                                         </w:t>
      </w:r>
      <w:r w:rsidR="0006226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                         </w:t>
      </w: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Ravnatelj:</w:t>
      </w:r>
    </w:p>
    <w:p w:rsidR="0061563E" w:rsidRPr="0061563E" w:rsidRDefault="0061563E" w:rsidP="0061563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>_____________________                                                                           ______________________</w:t>
      </w:r>
    </w:p>
    <w:p w:rsidR="0061563E" w:rsidRPr="0061563E" w:rsidRDefault="00BB4C03" w:rsidP="0061563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Vesna Arapović         </w:t>
      </w:r>
      <w:r w:rsidR="0061563E" w:rsidRPr="0061563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</w:t>
      </w:r>
      <w:r w:rsidR="00062260">
        <w:rPr>
          <w:rFonts w:ascii="Times New Roman" w:eastAsiaTheme="minorEastAsia" w:hAnsi="Times New Roman" w:cs="Times New Roman"/>
          <w:sz w:val="24"/>
          <w:szCs w:val="24"/>
          <w:lang w:eastAsia="ja-JP"/>
        </w:rPr>
        <w:t>Mihaela Pavlović</w:t>
      </w:r>
    </w:p>
    <w:p w:rsidR="005A7A54" w:rsidRDefault="005A7A54"/>
    <w:sectPr w:rsidR="005A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7097C"/>
    <w:multiLevelType w:val="hybridMultilevel"/>
    <w:tmpl w:val="1862DB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C6D25"/>
    <w:multiLevelType w:val="hybridMultilevel"/>
    <w:tmpl w:val="C5D8A1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F0D53"/>
    <w:multiLevelType w:val="hybridMultilevel"/>
    <w:tmpl w:val="E0327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0121C"/>
    <w:multiLevelType w:val="hybridMultilevel"/>
    <w:tmpl w:val="C038990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B47F66"/>
    <w:multiLevelType w:val="hybridMultilevel"/>
    <w:tmpl w:val="88220E7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D2D29"/>
    <w:multiLevelType w:val="hybridMultilevel"/>
    <w:tmpl w:val="8A30D02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5A143A"/>
    <w:multiLevelType w:val="hybridMultilevel"/>
    <w:tmpl w:val="358CC0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3E"/>
    <w:rsid w:val="00062260"/>
    <w:rsid w:val="002117A8"/>
    <w:rsid w:val="005A7A54"/>
    <w:rsid w:val="00611567"/>
    <w:rsid w:val="0061563E"/>
    <w:rsid w:val="006773E3"/>
    <w:rsid w:val="009B602E"/>
    <w:rsid w:val="00BB4C03"/>
    <w:rsid w:val="00C9061F"/>
    <w:rsid w:val="00D8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6A03E-563F-42FB-B6BC-FA5A128B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20/683-5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OGŠ Metković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Pažin</dc:creator>
  <cp:keywords/>
  <dc:description/>
  <cp:lastModifiedBy>Vesa Pažin</cp:lastModifiedBy>
  <cp:revision>2</cp:revision>
  <dcterms:created xsi:type="dcterms:W3CDTF">2025-01-30T11:56:00Z</dcterms:created>
  <dcterms:modified xsi:type="dcterms:W3CDTF">2025-01-30T11:56:00Z</dcterms:modified>
</cp:coreProperties>
</file>