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14B0E" w14:textId="77777777" w:rsidR="004F5041" w:rsidRDefault="004F5041" w:rsidP="004F5041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31493ED0" w14:textId="77777777" w:rsidR="004F5041" w:rsidRDefault="004F5041" w:rsidP="004F50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1FB8C99" w14:textId="77777777" w:rsidR="004F5041" w:rsidRDefault="004F5041" w:rsidP="004F50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0A4DBE06" w14:textId="77777777" w:rsidR="004F5041" w:rsidRDefault="004F5041" w:rsidP="004F5041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14:paraId="637FA9FE" w14:textId="77777777" w:rsidR="004F5041" w:rsidRDefault="004F5041" w:rsidP="004F5041">
      <w:pPr>
        <w:rPr>
          <w:rFonts w:ascii="Arial" w:hAnsi="Arial" w:cs="Arial"/>
        </w:rPr>
      </w:pPr>
    </w:p>
    <w:p w14:paraId="33A96FDB" w14:textId="77777777" w:rsidR="004F5041" w:rsidRDefault="004F5041" w:rsidP="004F5041"/>
    <w:p w14:paraId="063504B2" w14:textId="77777777" w:rsidR="004F5041" w:rsidRDefault="004F5041" w:rsidP="004F5041">
      <w:pPr>
        <w:spacing w:line="276" w:lineRule="auto"/>
        <w:jc w:val="both"/>
      </w:pPr>
    </w:p>
    <w:p w14:paraId="3B01D5DD" w14:textId="1D29D5BF" w:rsidR="004F5041" w:rsidRDefault="004F5041" w:rsidP="004F5041">
      <w:pPr>
        <w:spacing w:line="276" w:lineRule="auto"/>
        <w:jc w:val="both"/>
      </w:pPr>
      <w:r>
        <w:t xml:space="preserve">KLASA: </w:t>
      </w:r>
      <w:r w:rsidR="001C76A3" w:rsidRPr="001C76A3">
        <w:t>400-04/25-01/3</w:t>
      </w:r>
    </w:p>
    <w:p w14:paraId="507657C6" w14:textId="1926CEA9" w:rsidR="004F5041" w:rsidRDefault="004F5041" w:rsidP="004F5041">
      <w:pPr>
        <w:spacing w:line="276" w:lineRule="auto"/>
        <w:jc w:val="both"/>
      </w:pPr>
      <w:r>
        <w:t xml:space="preserve">URBROJ: </w:t>
      </w:r>
      <w:r w:rsidR="001C76A3" w:rsidRPr="001C76A3">
        <w:t>2117-143/3-25-1</w:t>
      </w:r>
    </w:p>
    <w:p w14:paraId="6712349F" w14:textId="6BEE5559" w:rsidR="004F5041" w:rsidRDefault="0057014D" w:rsidP="004F5041">
      <w:pPr>
        <w:spacing w:line="276" w:lineRule="auto"/>
        <w:jc w:val="both"/>
      </w:pPr>
      <w:r>
        <w:t>Metković, 28. ožujka 2025</w:t>
      </w:r>
      <w:r w:rsidR="004F5041">
        <w:t>.godine</w:t>
      </w:r>
    </w:p>
    <w:p w14:paraId="4079B4F8" w14:textId="77777777" w:rsidR="004F5041" w:rsidRDefault="004F5041" w:rsidP="004F5041">
      <w:pPr>
        <w:spacing w:line="276" w:lineRule="auto"/>
        <w:jc w:val="both"/>
      </w:pPr>
    </w:p>
    <w:p w14:paraId="18205594" w14:textId="77777777" w:rsidR="004F5041" w:rsidRDefault="004F5041" w:rsidP="004F5041">
      <w:pPr>
        <w:spacing w:line="276" w:lineRule="auto"/>
        <w:jc w:val="both"/>
      </w:pPr>
    </w:p>
    <w:p w14:paraId="2B7FCD2F" w14:textId="77777777" w:rsidR="004F5041" w:rsidRDefault="004F5041" w:rsidP="004F5041">
      <w:pPr>
        <w:spacing w:line="276" w:lineRule="auto"/>
        <w:jc w:val="both"/>
      </w:pPr>
    </w:p>
    <w:p w14:paraId="60EF4350" w14:textId="74A18716" w:rsidR="004F5041" w:rsidRDefault="004F5041" w:rsidP="004F5041">
      <w:pPr>
        <w:rPr>
          <w:b/>
          <w:lang w:eastAsia="en-US"/>
        </w:rPr>
      </w:pPr>
      <w:r>
        <w:rPr>
          <w:lang w:eastAsia="en-US"/>
        </w:rPr>
        <w:t xml:space="preserve">           </w:t>
      </w:r>
      <w:r>
        <w:rPr>
          <w:b/>
          <w:lang w:eastAsia="en-US"/>
        </w:rPr>
        <w:t>OBRAZLOŽENJE IZVR</w:t>
      </w:r>
      <w:r w:rsidR="0057014D">
        <w:rPr>
          <w:b/>
          <w:lang w:eastAsia="en-US"/>
        </w:rPr>
        <w:t>ŠENJA FINANCIJSKOG PLANA ZA 2024</w:t>
      </w:r>
      <w:r>
        <w:rPr>
          <w:b/>
          <w:lang w:eastAsia="en-US"/>
        </w:rPr>
        <w:t>. GODINU</w:t>
      </w:r>
    </w:p>
    <w:p w14:paraId="55F63997" w14:textId="77777777" w:rsidR="004F5041" w:rsidRDefault="004F5041" w:rsidP="004F5041">
      <w:pPr>
        <w:spacing w:line="276" w:lineRule="auto"/>
        <w:jc w:val="right"/>
      </w:pPr>
    </w:p>
    <w:p w14:paraId="620C346A" w14:textId="77777777" w:rsidR="004F5041" w:rsidRDefault="004F5041" w:rsidP="004F5041">
      <w:pPr>
        <w:jc w:val="right"/>
      </w:pPr>
    </w:p>
    <w:p w14:paraId="0943A931" w14:textId="77777777" w:rsidR="004F5041" w:rsidRDefault="004F5041" w:rsidP="004F5041">
      <w:pPr>
        <w:jc w:val="right"/>
      </w:pPr>
    </w:p>
    <w:p w14:paraId="03BE78BF" w14:textId="3C9E7DF4" w:rsidR="004F5041" w:rsidRPr="0040636C" w:rsidRDefault="004F5041" w:rsidP="0040636C">
      <w:pPr>
        <w:spacing w:line="360" w:lineRule="auto"/>
        <w:jc w:val="both"/>
      </w:pPr>
      <w:r w:rsidRPr="0040636C">
        <w:t>Osnovna glazbena škola Metković izradila je Godišnji izvještaj o izvr</w:t>
      </w:r>
      <w:r w:rsidR="0057014D">
        <w:t>šenju financijskog plana za 2024</w:t>
      </w:r>
      <w:r w:rsidRPr="0040636C">
        <w:t>. godinu.</w:t>
      </w:r>
    </w:p>
    <w:p w14:paraId="3D2AF6DA" w14:textId="3D9FCA7C" w:rsidR="0084038C" w:rsidRPr="0040636C" w:rsidRDefault="0084038C" w:rsidP="0040636C">
      <w:pPr>
        <w:tabs>
          <w:tab w:val="left" w:pos="300"/>
        </w:tabs>
        <w:spacing w:line="360" w:lineRule="auto"/>
        <w:jc w:val="both"/>
      </w:pPr>
      <w:r w:rsidRPr="0040636C">
        <w:t>Škola se, kao proračunski korisnik proračuna jedinice lokalne i područne (regionalne) samouprave, financira iz izvora županijskih sredstava (skupina 671), vlastitih prihoda (skupina 652), prihoda za posebne namjene (skupina 652)</w:t>
      </w:r>
      <w:r w:rsidR="0057014D">
        <w:t xml:space="preserve">, </w:t>
      </w:r>
      <w:r w:rsidR="00EE2BF4" w:rsidRPr="0040636C">
        <w:t>te</w:t>
      </w:r>
      <w:r w:rsidRPr="0040636C">
        <w:t xml:space="preserve"> plaće i naknade zaposlenima iz sredstava MZO-a (skupina 636). </w:t>
      </w:r>
    </w:p>
    <w:p w14:paraId="344CDD44" w14:textId="3627D3BC" w:rsidR="004F5041" w:rsidRPr="0040636C" w:rsidRDefault="0084038C" w:rsidP="0040636C">
      <w:pPr>
        <w:spacing w:line="360" w:lineRule="auto"/>
        <w:jc w:val="both"/>
      </w:pPr>
      <w:r w:rsidRPr="0040636C">
        <w:t>OGŠ  Metković uključena je u EU projekt</w:t>
      </w:r>
      <w:r w:rsidR="0057014D">
        <w:t>e</w:t>
      </w:r>
      <w:r w:rsidRPr="0040636C">
        <w:t xml:space="preserve"> programa mobilnosti </w:t>
      </w:r>
      <w:proofErr w:type="spellStart"/>
      <w:r w:rsidRPr="0040636C">
        <w:t>Erasmus</w:t>
      </w:r>
      <w:proofErr w:type="spellEnd"/>
      <w:r w:rsidRPr="0040636C">
        <w:t>+ (skupina 638).</w:t>
      </w:r>
    </w:p>
    <w:p w14:paraId="03D14BE7" w14:textId="77777777" w:rsidR="0084038C" w:rsidRPr="0040636C" w:rsidRDefault="0084038C" w:rsidP="0040636C">
      <w:pPr>
        <w:spacing w:line="360" w:lineRule="auto"/>
        <w:jc w:val="both"/>
      </w:pPr>
    </w:p>
    <w:p w14:paraId="0F599A5D" w14:textId="4B5B34C1" w:rsidR="0084038C" w:rsidRPr="0040636C" w:rsidRDefault="0084038C" w:rsidP="0040636C">
      <w:pPr>
        <w:spacing w:line="360" w:lineRule="auto"/>
        <w:jc w:val="both"/>
        <w:rPr>
          <w:color w:val="000000"/>
        </w:rPr>
      </w:pPr>
      <w:r w:rsidRPr="0040636C">
        <w:t>U izvještajnom r</w:t>
      </w:r>
      <w:r w:rsidR="0057014D">
        <w:t>azdoblju od 01.01. do 31.12.2024</w:t>
      </w:r>
      <w:r w:rsidRPr="0040636C">
        <w:t>. godine, OGŠ Metković ostvarila  je prihod</w:t>
      </w:r>
      <w:r w:rsidR="0057014D">
        <w:t xml:space="preserve">e poslovanja u iznosu 601.663,65 </w:t>
      </w:r>
      <w:r w:rsidRPr="0040636C">
        <w:t>€. Najznačajniji izvor prihoda poslovanja čine doznačena novčana sredstva iz državnog proračuna (MZO) za financiranje plaća i naknada zaposlenima</w:t>
      </w:r>
      <w:r w:rsidRPr="0040636C">
        <w:rPr>
          <w:color w:val="000000"/>
        </w:rPr>
        <w:t>. Drugi po redu izvor prihoda poslovanja su vlastiti prihodi, participacija učenika i najam instrumenta, a treći izvor prihoda su sredstva od osnivača (DNŽ) za materijalne rashode.</w:t>
      </w:r>
    </w:p>
    <w:p w14:paraId="7B839329" w14:textId="77777777" w:rsidR="0084038C" w:rsidRPr="0040636C" w:rsidRDefault="0084038C" w:rsidP="0040636C">
      <w:pPr>
        <w:spacing w:line="360" w:lineRule="auto"/>
        <w:jc w:val="both"/>
        <w:rPr>
          <w:color w:val="000000"/>
        </w:rPr>
      </w:pPr>
    </w:p>
    <w:p w14:paraId="01B180A3" w14:textId="4BCF59CF" w:rsidR="0084038C" w:rsidRPr="0040636C" w:rsidRDefault="0084038C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>Na temelju II. Izmjene i d</w:t>
      </w:r>
      <w:r w:rsidR="0057014D">
        <w:rPr>
          <w:color w:val="000000"/>
        </w:rPr>
        <w:t>opune financijskog plana za 2024</w:t>
      </w:r>
      <w:r w:rsidRPr="0040636C">
        <w:rPr>
          <w:color w:val="000000"/>
        </w:rPr>
        <w:t>. godinu te ostvarenih (izvršenih) prihoda i rashoda predstavljamo godišnji izvještaj o Izvr</w:t>
      </w:r>
      <w:r w:rsidR="0057014D">
        <w:rPr>
          <w:color w:val="000000"/>
        </w:rPr>
        <w:t>šenju financijskog plana za 2024</w:t>
      </w:r>
      <w:r w:rsidRPr="0040636C">
        <w:rPr>
          <w:color w:val="000000"/>
        </w:rPr>
        <w:t xml:space="preserve">. </w:t>
      </w:r>
      <w:r w:rsidR="00733122" w:rsidRPr="0040636C">
        <w:rPr>
          <w:color w:val="000000"/>
        </w:rPr>
        <w:t>godinu:</w:t>
      </w:r>
    </w:p>
    <w:p w14:paraId="11A0A0B2" w14:textId="77777777" w:rsidR="0084038C" w:rsidRPr="0040636C" w:rsidRDefault="0084038C" w:rsidP="0040636C">
      <w:pPr>
        <w:pStyle w:val="Odlomakpopisa"/>
        <w:numPr>
          <w:ilvl w:val="0"/>
          <w:numId w:val="2"/>
        </w:numPr>
        <w:spacing w:after="160" w:line="259" w:lineRule="auto"/>
        <w:jc w:val="both"/>
      </w:pPr>
      <w:r w:rsidRPr="0040636C">
        <w:t>OPĆI DIO izvještaja o izvršenju financijskog plana sadrži:</w:t>
      </w:r>
    </w:p>
    <w:p w14:paraId="5A4177F9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>Račun prihoda i rashoda</w:t>
      </w:r>
    </w:p>
    <w:p w14:paraId="1CA47BDA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 xml:space="preserve">Račun financiranja </w:t>
      </w:r>
    </w:p>
    <w:p w14:paraId="6D301F5A" w14:textId="77777777" w:rsidR="0084038C" w:rsidRPr="0040636C" w:rsidRDefault="0084038C" w:rsidP="0040636C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40636C">
        <w:t>RAČUN PRIHODA I RASHODA</w:t>
      </w:r>
    </w:p>
    <w:p w14:paraId="6A2FB2A2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 xml:space="preserve">Prihodi i rashodi prema ekonomskoj klasifikaciji </w:t>
      </w:r>
    </w:p>
    <w:p w14:paraId="42E4E344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lastRenderedPageBreak/>
        <w:t xml:space="preserve">Prihodi i rashodi prema izvorima financiranja </w:t>
      </w:r>
    </w:p>
    <w:p w14:paraId="61EF8F8D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 xml:space="preserve">Prihodi i rashodi prema funkcijskoj klasifikaciji </w:t>
      </w:r>
    </w:p>
    <w:p w14:paraId="3E630AFC" w14:textId="77777777" w:rsidR="0084038C" w:rsidRPr="0040636C" w:rsidRDefault="0084038C" w:rsidP="0040636C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40636C">
        <w:t xml:space="preserve">RAČUN FINANCIRANJA </w:t>
      </w:r>
    </w:p>
    <w:p w14:paraId="78A93B90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 xml:space="preserve">Primici i izdaci prema ekonomskoj klasifikaciji </w:t>
      </w:r>
    </w:p>
    <w:p w14:paraId="0F5EF13C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 xml:space="preserve">Primici i izdaci prema izvorima financiranja </w:t>
      </w:r>
    </w:p>
    <w:p w14:paraId="48595041" w14:textId="77777777" w:rsidR="0084038C" w:rsidRPr="0040636C" w:rsidRDefault="0084038C" w:rsidP="0040636C">
      <w:pPr>
        <w:pStyle w:val="Odlomakpopisa"/>
        <w:numPr>
          <w:ilvl w:val="0"/>
          <w:numId w:val="2"/>
        </w:numPr>
        <w:spacing w:after="160" w:line="259" w:lineRule="auto"/>
        <w:jc w:val="both"/>
      </w:pPr>
      <w:r w:rsidRPr="0040636C">
        <w:t>POSEBNI DIO izvještaja o izvršenju financijskog plana sadrži:</w:t>
      </w:r>
    </w:p>
    <w:p w14:paraId="2568B611" w14:textId="77777777" w:rsidR="0084038C" w:rsidRPr="0040636C" w:rsidRDefault="0084038C" w:rsidP="0040636C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0636C">
        <w:t>Izvršenje prema programskoj klasifikaciji te razini odjeljak ekonomske klasifikacije i izvorima financiranja</w:t>
      </w:r>
    </w:p>
    <w:p w14:paraId="3D1D6598" w14:textId="77777777" w:rsidR="0084038C" w:rsidRPr="0040636C" w:rsidRDefault="0084038C" w:rsidP="0040636C">
      <w:pPr>
        <w:pStyle w:val="Odlomakpopisa"/>
        <w:numPr>
          <w:ilvl w:val="0"/>
          <w:numId w:val="2"/>
        </w:numPr>
        <w:spacing w:after="160" w:line="259" w:lineRule="auto"/>
        <w:jc w:val="both"/>
      </w:pPr>
      <w:r w:rsidRPr="0040636C">
        <w:t xml:space="preserve">OBRAZLOŽENJE ostvarenje prihoda i primitaka, rashoda i izdataka </w:t>
      </w:r>
    </w:p>
    <w:p w14:paraId="2BCF53A2" w14:textId="77777777" w:rsidR="0084038C" w:rsidRPr="0040636C" w:rsidRDefault="0084038C" w:rsidP="0040636C">
      <w:pPr>
        <w:spacing w:line="360" w:lineRule="auto"/>
        <w:jc w:val="both"/>
      </w:pPr>
    </w:p>
    <w:p w14:paraId="4BC83868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  <w:highlight w:val="lightGray"/>
        </w:rPr>
        <w:t>OPĆI DIO</w:t>
      </w:r>
      <w:r w:rsidRPr="0040636C">
        <w:rPr>
          <w:color w:val="000000"/>
        </w:rPr>
        <w:t xml:space="preserve"> </w:t>
      </w:r>
    </w:p>
    <w:p w14:paraId="5B28BD5B" w14:textId="08223D5C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 xml:space="preserve">Sažetak A. Računa prihoda i rashoda sadrži prikaz ukupno ostvarenih prihoda i primitaka, ostvarenih rashoda i izdataka na razini razreda ekonomske klasifikacije, kao i višak/manjak. </w:t>
      </w:r>
    </w:p>
    <w:p w14:paraId="44F52227" w14:textId="29588EA9" w:rsidR="00733122" w:rsidRPr="006B4F4A" w:rsidRDefault="00733122" w:rsidP="006B4F4A">
      <w:pPr>
        <w:jc w:val="both"/>
        <w:rPr>
          <w:rFonts w:ascii="Calibri" w:hAnsi="Calibri" w:cs="Calibri"/>
          <w:color w:val="FF0000"/>
          <w:sz w:val="22"/>
          <w:szCs w:val="22"/>
          <w:lang w:val="en-US" w:eastAsia="en-US"/>
        </w:rPr>
      </w:pPr>
      <w:r w:rsidRPr="006B4F4A">
        <w:t xml:space="preserve">Tekući rezultat za </w:t>
      </w:r>
      <w:r w:rsidR="00F35A19" w:rsidRPr="006B4F4A">
        <w:t>20</w:t>
      </w:r>
      <w:r w:rsidR="006B4F4A" w:rsidRPr="006B4F4A">
        <w:t>23</w:t>
      </w:r>
      <w:r w:rsidR="00F35A19" w:rsidRPr="006B4F4A">
        <w:t>. godinu iznosio je</w:t>
      </w:r>
      <w:r w:rsidR="006B4F4A" w:rsidRPr="006B4F4A">
        <w:t xml:space="preserve"> 108.801,43</w:t>
      </w:r>
      <w:r w:rsidR="00F35A19" w:rsidRPr="006B4F4A">
        <w:t xml:space="preserve">€, dok je za </w:t>
      </w:r>
      <w:r w:rsidR="006B4F4A" w:rsidRPr="006B4F4A">
        <w:t>2024. godinu iznosio  73.101,23</w:t>
      </w:r>
      <w:r w:rsidRPr="006B4F4A">
        <w:t>€</w:t>
      </w:r>
      <w:r w:rsidR="00F82CD8">
        <w:t>.</w:t>
      </w:r>
    </w:p>
    <w:p w14:paraId="0B2C00B2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</w:p>
    <w:p w14:paraId="32236DEE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  <w:highlight w:val="lightGray"/>
        </w:rPr>
        <w:t>RAČUN PRIHODA I RASHODA – prema ekonomskoj klasifikaciji</w:t>
      </w:r>
      <w:r w:rsidRPr="0040636C">
        <w:rPr>
          <w:color w:val="000000"/>
        </w:rPr>
        <w:t xml:space="preserve"> </w:t>
      </w:r>
    </w:p>
    <w:p w14:paraId="143CFEF5" w14:textId="2297174F" w:rsidR="00733122" w:rsidRPr="0040636C" w:rsidRDefault="00F82CD8" w:rsidP="0040636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733122" w:rsidRPr="0040636C">
        <w:rPr>
          <w:color w:val="000000"/>
        </w:rPr>
        <w:t>U tablici su prikazani ukupn</w:t>
      </w:r>
      <w:r w:rsidR="00014DE6">
        <w:rPr>
          <w:color w:val="000000"/>
        </w:rPr>
        <w:t>i prihodi u iznosu od 601.663,65€ za 2024</w:t>
      </w:r>
      <w:r w:rsidR="00733122" w:rsidRPr="0040636C">
        <w:rPr>
          <w:color w:val="000000"/>
        </w:rPr>
        <w:t xml:space="preserve">. godinu. </w:t>
      </w:r>
    </w:p>
    <w:p w14:paraId="7F3A2D4F" w14:textId="7675AE47" w:rsidR="0040636C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>Ostvareni rashodi u izvješta</w:t>
      </w:r>
      <w:r w:rsidR="00014DE6">
        <w:rPr>
          <w:color w:val="000000"/>
        </w:rPr>
        <w:t>jnom razdoblj</w:t>
      </w:r>
      <w:r w:rsidR="00F82CD8">
        <w:rPr>
          <w:color w:val="000000"/>
        </w:rPr>
        <w:t>u iznose 636.821,27</w:t>
      </w:r>
      <w:r w:rsidR="00014DE6">
        <w:rPr>
          <w:color w:val="000000"/>
        </w:rPr>
        <w:t>€ škole za 2024</w:t>
      </w:r>
      <w:r w:rsidRPr="0040636C">
        <w:rPr>
          <w:color w:val="000000"/>
        </w:rPr>
        <w:t xml:space="preserve">. godinu. </w:t>
      </w:r>
      <w:r w:rsidR="00F35A19" w:rsidRPr="0040636C">
        <w:rPr>
          <w:color w:val="000000"/>
        </w:rPr>
        <w:t xml:space="preserve">Iz tablice je vidljivo da najveći izvor prihoda dolazi iz Ministarstva te se troši na troškove zaposlenika tj. bruto plaće, doprinose na plaće te materijalna prava zaposlenika. </w:t>
      </w:r>
    </w:p>
    <w:p w14:paraId="25FF26F7" w14:textId="1965EE65" w:rsidR="0040636C" w:rsidRPr="0040636C" w:rsidRDefault="00F82CD8" w:rsidP="0040636C">
      <w:pPr>
        <w:spacing w:line="360" w:lineRule="auto"/>
        <w:jc w:val="both"/>
      </w:pPr>
      <w:r>
        <w:t xml:space="preserve">   </w:t>
      </w:r>
      <w:r w:rsidR="0040636C" w:rsidRPr="0040636C">
        <w:t>Ukupan odobreni iznos</w:t>
      </w:r>
      <w:r w:rsidR="00014DE6">
        <w:t xml:space="preserve"> od županije koji iznosi  19.993</w:t>
      </w:r>
      <w:r w:rsidR="0040636C" w:rsidRPr="0040636C">
        <w:t xml:space="preserve">,00€ smo utrošili na fiksne troškove; komunalne usluge, rashode za telefon, platni promet, održavanje računalne opreme te uredski materijal. </w:t>
      </w:r>
    </w:p>
    <w:p w14:paraId="6868FFA5" w14:textId="69EBDE64" w:rsidR="0040636C" w:rsidRPr="0040636C" w:rsidRDefault="00F82CD8" w:rsidP="0040636C">
      <w:pPr>
        <w:spacing w:line="360" w:lineRule="auto"/>
        <w:jc w:val="both"/>
      </w:pPr>
      <w:r>
        <w:t xml:space="preserve">   </w:t>
      </w:r>
      <w:r w:rsidR="0040636C" w:rsidRPr="0040636C">
        <w:t>Vlastiti prihodi i prihodi za posebne namjene su stavka koja varira na temelju broja upisane djece, a samim tim i najma instr</w:t>
      </w:r>
      <w:r>
        <w:t>umenta. Ostvaren  je iznos od 34.408,70</w:t>
      </w:r>
      <w:r w:rsidR="0040636C" w:rsidRPr="0040636C">
        <w:t>€. Sredstva su se utrošila na kupnju i servis glazbenih instrumenata, dodatna ulaganja u ško</w:t>
      </w:r>
      <w:r>
        <w:t>lu</w:t>
      </w:r>
      <w:r w:rsidR="0040636C" w:rsidRPr="0040636C">
        <w:t xml:space="preserve"> i ostalih troškova za redovno poslovanje Glazbene škole.</w:t>
      </w:r>
    </w:p>
    <w:p w14:paraId="5634221A" w14:textId="77777777" w:rsidR="0040636C" w:rsidRPr="0040636C" w:rsidRDefault="0040636C" w:rsidP="0040636C">
      <w:pPr>
        <w:spacing w:line="360" w:lineRule="auto"/>
        <w:jc w:val="both"/>
      </w:pPr>
    </w:p>
    <w:p w14:paraId="030DB907" w14:textId="5A6F96C2" w:rsidR="00733122" w:rsidRPr="0040636C" w:rsidRDefault="00F82CD8" w:rsidP="0040636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40636C" w:rsidRPr="0040636C">
        <w:rPr>
          <w:color w:val="000000"/>
        </w:rPr>
        <w:t>Tablica rashoda poslovanja OGŠ Metković prikazuje da su sredstva utrošena u skladu s financijskim planom.</w:t>
      </w:r>
    </w:p>
    <w:p w14:paraId="6F4EAA48" w14:textId="37E77548" w:rsidR="0040636C" w:rsidRPr="0040636C" w:rsidRDefault="0040636C" w:rsidP="0040636C">
      <w:pPr>
        <w:spacing w:line="360" w:lineRule="auto"/>
        <w:jc w:val="both"/>
        <w:rPr>
          <w:color w:val="000000"/>
        </w:rPr>
      </w:pPr>
    </w:p>
    <w:p w14:paraId="458B1F00" w14:textId="053126A9" w:rsidR="0040636C" w:rsidRPr="0040636C" w:rsidRDefault="0040636C" w:rsidP="0040636C">
      <w:pPr>
        <w:spacing w:line="360" w:lineRule="auto"/>
        <w:jc w:val="both"/>
        <w:rPr>
          <w:color w:val="000000"/>
        </w:rPr>
      </w:pPr>
    </w:p>
    <w:p w14:paraId="49A4C4D6" w14:textId="77777777" w:rsidR="0040636C" w:rsidRPr="0040636C" w:rsidRDefault="0040636C" w:rsidP="0040636C">
      <w:pPr>
        <w:spacing w:line="360" w:lineRule="auto"/>
        <w:jc w:val="both"/>
        <w:rPr>
          <w:color w:val="000000"/>
        </w:rPr>
      </w:pPr>
    </w:p>
    <w:p w14:paraId="407FE19D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</w:p>
    <w:p w14:paraId="644368FB" w14:textId="77777777" w:rsidR="00F82CD8" w:rsidRDefault="00F82CD8" w:rsidP="0040636C">
      <w:pPr>
        <w:spacing w:line="360" w:lineRule="auto"/>
        <w:jc w:val="both"/>
        <w:rPr>
          <w:color w:val="000000"/>
          <w:highlight w:val="lightGray"/>
        </w:rPr>
      </w:pPr>
    </w:p>
    <w:p w14:paraId="04FF13FD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  <w:highlight w:val="lightGray"/>
        </w:rPr>
        <w:lastRenderedPageBreak/>
        <w:t>RAČUN PRIHODA I RASHODA – prema izvorima financiranja</w:t>
      </w:r>
    </w:p>
    <w:p w14:paraId="48AE941F" w14:textId="6412AD8F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>U ovom izvještaju prikazani su prihodi i rashodi po pojedinim izvorima financiranja. Vrijednosno najznačajniji prihodi, a time i rashodi, su iz izvora Pomoći koji obuhvaća plaće</w:t>
      </w:r>
      <w:r w:rsidR="0040636C" w:rsidRPr="0040636C">
        <w:rPr>
          <w:color w:val="000000"/>
        </w:rPr>
        <w:t xml:space="preserve"> zaposlenika,</w:t>
      </w:r>
      <w:r w:rsidRPr="0040636C">
        <w:rPr>
          <w:color w:val="000000"/>
        </w:rPr>
        <w:t xml:space="preserve"> naknade zaposlenima te prihodi za posebne namjene.</w:t>
      </w:r>
    </w:p>
    <w:p w14:paraId="6C75407A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</w:p>
    <w:p w14:paraId="693772A4" w14:textId="77777777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 xml:space="preserve">POSEBNI DIO </w:t>
      </w:r>
    </w:p>
    <w:p w14:paraId="0F35F431" w14:textId="18BF9D37" w:rsidR="00733122" w:rsidRPr="0040636C" w:rsidRDefault="00733122" w:rsidP="0040636C">
      <w:pPr>
        <w:spacing w:line="360" w:lineRule="auto"/>
        <w:jc w:val="both"/>
        <w:rPr>
          <w:color w:val="000000"/>
        </w:rPr>
      </w:pPr>
      <w:r w:rsidRPr="0040636C">
        <w:rPr>
          <w:color w:val="000000"/>
        </w:rPr>
        <w:t xml:space="preserve">Rashodi poslovanja i rashodi za nabavu nefinancijsku imovine ostvareni su </w:t>
      </w:r>
      <w:r w:rsidR="00F82CD8">
        <w:rPr>
          <w:color w:val="000000"/>
        </w:rPr>
        <w:t xml:space="preserve">u ukupnom iznosu od </w:t>
      </w:r>
      <w:r w:rsidR="008763DD" w:rsidRPr="0040636C">
        <w:rPr>
          <w:color w:val="000000"/>
        </w:rPr>
        <w:t>63</w:t>
      </w:r>
      <w:r w:rsidR="00F82CD8">
        <w:rPr>
          <w:color w:val="000000"/>
        </w:rPr>
        <w:t>6.821,27</w:t>
      </w:r>
      <w:r w:rsidRPr="0040636C">
        <w:rPr>
          <w:color w:val="000000"/>
        </w:rPr>
        <w:t xml:space="preserve">€ te se raspoređuje po programima, aktivnostima i </w:t>
      </w:r>
      <w:r w:rsidR="008763DD" w:rsidRPr="0040636C">
        <w:rPr>
          <w:color w:val="000000"/>
        </w:rPr>
        <w:t xml:space="preserve">izvorima financiranjima. </w:t>
      </w:r>
    </w:p>
    <w:p w14:paraId="7FAFA128" w14:textId="77777777" w:rsidR="000951ED" w:rsidRDefault="000951ED" w:rsidP="000951ED">
      <w:pPr>
        <w:spacing w:line="360" w:lineRule="auto"/>
        <w:jc w:val="both"/>
        <w:rPr>
          <w:color w:val="000000"/>
        </w:rPr>
      </w:pPr>
    </w:p>
    <w:p w14:paraId="0FC677A7" w14:textId="77777777" w:rsidR="000951ED" w:rsidRDefault="000951ED" w:rsidP="000951ED">
      <w:pPr>
        <w:spacing w:line="360" w:lineRule="auto"/>
        <w:jc w:val="both"/>
        <w:rPr>
          <w:color w:val="000000"/>
        </w:rPr>
      </w:pPr>
    </w:p>
    <w:p w14:paraId="69E13DD2" w14:textId="77777777" w:rsidR="000951ED" w:rsidRPr="00333F96" w:rsidRDefault="000951ED" w:rsidP="000951ED">
      <w:pPr>
        <w:spacing w:line="360" w:lineRule="auto"/>
        <w:jc w:val="both"/>
        <w:rPr>
          <w:b/>
          <w:color w:val="000000"/>
        </w:rPr>
      </w:pPr>
      <w:r w:rsidRPr="00333F96">
        <w:rPr>
          <w:b/>
          <w:color w:val="000000"/>
        </w:rPr>
        <w:t>PROGRAM A101207 ZAKONSKI STANDARDI USTANOVA U OBRAZOVANJU</w:t>
      </w:r>
    </w:p>
    <w:p w14:paraId="09F4D743" w14:textId="4249308C" w:rsidR="000951ED" w:rsidRPr="004F1306" w:rsidRDefault="000951ED" w:rsidP="000951ED">
      <w:pPr>
        <w:jc w:val="both"/>
        <w:rPr>
          <w:b/>
          <w:bCs/>
        </w:rPr>
      </w:pPr>
      <w:r w:rsidRPr="00333F96">
        <w:rPr>
          <w:b/>
          <w:color w:val="000000"/>
        </w:rPr>
        <w:t>AKTIVNOST A101207A120701</w:t>
      </w:r>
      <w:r w:rsidRPr="000951ED">
        <w:rPr>
          <w:color w:val="000000"/>
        </w:rPr>
        <w:t xml:space="preserve"> Osiguranje uvjeta rada za redovno poslovanje osnovne škole</w:t>
      </w:r>
      <w:r>
        <w:rPr>
          <w:color w:val="000000"/>
        </w:rPr>
        <w:t xml:space="preserve"> prema</w:t>
      </w:r>
      <w:r w:rsidRPr="000951ED">
        <w:rPr>
          <w:color w:val="000000"/>
        </w:rPr>
        <w:t xml:space="preserve"> </w:t>
      </w:r>
      <w:r w:rsidRPr="004F1306">
        <w:t>izvornom</w:t>
      </w:r>
      <w:r w:rsidRPr="004F1306">
        <w:t xml:space="preserve"> plan</w:t>
      </w:r>
      <w:r w:rsidRPr="004F1306">
        <w:t>u je iznosilo 556.993,00</w:t>
      </w:r>
      <w:r w:rsidR="004F1306" w:rsidRPr="004F1306">
        <w:t>, a izvršenje</w:t>
      </w:r>
      <w:r w:rsidRPr="004F1306">
        <w:t xml:space="preserve"> </w:t>
      </w:r>
      <w:r w:rsidR="004F1306" w:rsidRPr="004F1306">
        <w:t xml:space="preserve">za 2024.godinu iznosi 581.688,47   </w:t>
      </w:r>
    </w:p>
    <w:p w14:paraId="146AA5A5" w14:textId="77777777" w:rsidR="004F1306" w:rsidRDefault="004F1306" w:rsidP="000951ED">
      <w:pPr>
        <w:spacing w:line="360" w:lineRule="auto"/>
        <w:jc w:val="both"/>
        <w:rPr>
          <w:color w:val="FF0000"/>
        </w:rPr>
      </w:pPr>
    </w:p>
    <w:p w14:paraId="23E5C3E2" w14:textId="65F6EEF4" w:rsidR="00733122" w:rsidRDefault="000951ED" w:rsidP="000951ED">
      <w:pPr>
        <w:spacing w:line="360" w:lineRule="auto"/>
        <w:jc w:val="both"/>
        <w:rPr>
          <w:color w:val="000000"/>
        </w:rPr>
      </w:pPr>
      <w:r>
        <w:rPr>
          <w:color w:val="000000"/>
        </w:rPr>
        <w:t>Ž</w:t>
      </w:r>
      <w:r w:rsidRPr="000951ED">
        <w:rPr>
          <w:color w:val="000000"/>
        </w:rPr>
        <w:t>upanija je preko izvora 1.1</w:t>
      </w:r>
      <w:r w:rsidR="004F1306">
        <w:rPr>
          <w:color w:val="000000"/>
        </w:rPr>
        <w:t>.</w:t>
      </w:r>
      <w:r>
        <w:rPr>
          <w:color w:val="000000"/>
        </w:rPr>
        <w:t xml:space="preserve"> u iznosu od 1.343</w:t>
      </w:r>
      <w:r w:rsidRPr="000951ED">
        <w:rPr>
          <w:color w:val="000000"/>
        </w:rPr>
        <w:t>,00 € i izvora 4.4.1 u iznos</w:t>
      </w:r>
      <w:r>
        <w:rPr>
          <w:color w:val="000000"/>
        </w:rPr>
        <w:t>u 18.6500,00 € financirala Osnovnu glazbenu školu Metković</w:t>
      </w:r>
      <w:r w:rsidRPr="000951ED">
        <w:rPr>
          <w:color w:val="000000"/>
        </w:rPr>
        <w:t>.</w:t>
      </w:r>
    </w:p>
    <w:p w14:paraId="42934744" w14:textId="77777777" w:rsidR="004F1306" w:rsidRDefault="004F1306" w:rsidP="000951ED">
      <w:pPr>
        <w:spacing w:line="360" w:lineRule="auto"/>
        <w:jc w:val="both"/>
        <w:rPr>
          <w:color w:val="000000"/>
        </w:rPr>
      </w:pPr>
    </w:p>
    <w:p w14:paraId="409884E7" w14:textId="70862F18" w:rsidR="008763DD" w:rsidRPr="00333F96" w:rsidRDefault="004F1306" w:rsidP="00733122">
      <w:pPr>
        <w:spacing w:line="360" w:lineRule="auto"/>
        <w:jc w:val="both"/>
        <w:rPr>
          <w:b/>
          <w:color w:val="000000"/>
        </w:rPr>
      </w:pPr>
      <w:r w:rsidRPr="00333F96">
        <w:rPr>
          <w:b/>
          <w:color w:val="000000"/>
        </w:rPr>
        <w:t>PROGRAM A101208 PROGRAM USTANOVA U OBRAZOVANJU IZNAD STANDARDA</w:t>
      </w:r>
    </w:p>
    <w:p w14:paraId="36ECD37A" w14:textId="77777777" w:rsidR="00333F96" w:rsidRDefault="00333F96" w:rsidP="00333F96">
      <w:pPr>
        <w:spacing w:after="174"/>
      </w:pPr>
      <w:r w:rsidRPr="00333F96">
        <w:rPr>
          <w:b/>
        </w:rPr>
        <w:t>AKTIVNOST A101208A120804</w:t>
      </w:r>
      <w:r w:rsidRPr="00333F96">
        <w:t xml:space="preserve"> FINANCIRANJE ŠKOLSKIH PROJEKATA</w:t>
      </w:r>
    </w:p>
    <w:p w14:paraId="3679BD9F" w14:textId="0266FBF5" w:rsidR="00333F96" w:rsidRDefault="00333F96" w:rsidP="00333F96">
      <w:pPr>
        <w:spacing w:after="174"/>
      </w:pPr>
      <w:r w:rsidRPr="00333F96">
        <w:t>Pomoći</w:t>
      </w:r>
      <w:r>
        <w:t xml:space="preserve">/Fondovi EU Za </w:t>
      </w:r>
      <w:proofErr w:type="spellStart"/>
      <w:r>
        <w:t>Erasmus</w:t>
      </w:r>
      <w:proofErr w:type="spellEnd"/>
      <w:r>
        <w:t xml:space="preserve"> projekat, </w:t>
      </w:r>
      <w:r w:rsidRPr="00333F96">
        <w:t>Izvršenje 2024.godine iznosi</w:t>
      </w:r>
      <w:r>
        <w:t xml:space="preserve"> </w:t>
      </w:r>
      <w:r w:rsidRPr="00333F96">
        <w:t>3.250,00 €.</w:t>
      </w:r>
    </w:p>
    <w:p w14:paraId="68132E33" w14:textId="77777777" w:rsidR="00333F96" w:rsidRDefault="00333F96" w:rsidP="00333F96">
      <w:pPr>
        <w:spacing w:after="174"/>
      </w:pPr>
    </w:p>
    <w:p w14:paraId="43DCA804" w14:textId="1817E75A" w:rsidR="00333F96" w:rsidRDefault="00333F96" w:rsidP="00333F96">
      <w:pPr>
        <w:spacing w:after="174"/>
      </w:pPr>
      <w:r w:rsidRPr="00333F96">
        <w:rPr>
          <w:b/>
        </w:rPr>
        <w:t>AKTIVNOST A101208A120810</w:t>
      </w:r>
      <w:r w:rsidRPr="00333F96">
        <w:t xml:space="preserve"> OSTALE AKTIVNOSTI OSNOVNIH ŠKOLA</w:t>
      </w:r>
    </w:p>
    <w:p w14:paraId="2A568372" w14:textId="7FDA37EA" w:rsidR="005E2836" w:rsidRDefault="005E2836" w:rsidP="00333F96">
      <w:pPr>
        <w:spacing w:after="174"/>
      </w:pPr>
      <w:r w:rsidRPr="005E2836">
        <w:t>Izvršenje proračuna za 2024.godinu iznosi</w:t>
      </w:r>
      <w:r>
        <w:t xml:space="preserve"> 45.763,80 €.</w:t>
      </w:r>
    </w:p>
    <w:p w14:paraId="1749A8B7" w14:textId="77777777" w:rsidR="005E2836" w:rsidRDefault="005E2836" w:rsidP="00333F96">
      <w:pPr>
        <w:spacing w:after="174"/>
      </w:pPr>
    </w:p>
    <w:p w14:paraId="719FF820" w14:textId="672AB026" w:rsidR="005E2836" w:rsidRDefault="005E2836" w:rsidP="00333F96">
      <w:pPr>
        <w:spacing w:after="174"/>
      </w:pPr>
      <w:r w:rsidRPr="005E2836">
        <w:rPr>
          <w:b/>
        </w:rPr>
        <w:t>AKTIVNOST A101208A120811</w:t>
      </w:r>
      <w:r w:rsidRPr="005E2836">
        <w:t xml:space="preserve"> DODATNE DJELATNOSTI U OSNOVNIM ŠKOLAMA</w:t>
      </w:r>
    </w:p>
    <w:p w14:paraId="401C6355" w14:textId="519A7E87" w:rsidR="005E2836" w:rsidRPr="00333F96" w:rsidRDefault="005E2836" w:rsidP="00333F96">
      <w:pPr>
        <w:spacing w:after="174"/>
      </w:pPr>
      <w:r w:rsidRPr="005E2836">
        <w:t>Izvršenje proračuna 2024.godine iznosi</w:t>
      </w:r>
      <w:r>
        <w:t xml:space="preserve"> 6.119,00</w:t>
      </w:r>
      <w:r w:rsidRPr="005E2836">
        <w:t xml:space="preserve"> </w:t>
      </w:r>
      <w:r>
        <w:t>€.</w:t>
      </w:r>
    </w:p>
    <w:p w14:paraId="66C994E1" w14:textId="77777777" w:rsidR="004F1306" w:rsidRDefault="004F1306" w:rsidP="00733122">
      <w:pPr>
        <w:spacing w:line="360" w:lineRule="auto"/>
        <w:jc w:val="both"/>
        <w:rPr>
          <w:color w:val="000000"/>
        </w:rPr>
      </w:pPr>
    </w:p>
    <w:p w14:paraId="456F4811" w14:textId="77777777" w:rsidR="005E2836" w:rsidRDefault="005E2836" w:rsidP="00733122">
      <w:pPr>
        <w:spacing w:line="360" w:lineRule="auto"/>
        <w:jc w:val="both"/>
        <w:rPr>
          <w:color w:val="000000"/>
        </w:rPr>
      </w:pPr>
    </w:p>
    <w:p w14:paraId="1AE41D10" w14:textId="77777777" w:rsidR="005E2836" w:rsidRDefault="005E2836" w:rsidP="00733122">
      <w:pPr>
        <w:spacing w:line="360" w:lineRule="auto"/>
        <w:jc w:val="both"/>
        <w:rPr>
          <w:color w:val="000000"/>
        </w:rPr>
      </w:pPr>
    </w:p>
    <w:p w14:paraId="0C1E4BDC" w14:textId="77777777" w:rsidR="0040636C" w:rsidRDefault="0040636C" w:rsidP="005E2836"/>
    <w:p w14:paraId="7DF57EA5" w14:textId="592C7DD4" w:rsidR="004F5041" w:rsidRDefault="004F5041" w:rsidP="005E2836">
      <w:r>
        <w:t>U</w:t>
      </w:r>
      <w:r w:rsidR="00F82CD8">
        <w:t xml:space="preserve"> Metkoviću, 28. ožujka 2025</w:t>
      </w:r>
      <w:r>
        <w:t>.godine</w:t>
      </w:r>
    </w:p>
    <w:p w14:paraId="4E087594" w14:textId="77777777" w:rsidR="004F5041" w:rsidRDefault="004F5041" w:rsidP="004F5041">
      <w:pPr>
        <w:jc w:val="right"/>
      </w:pPr>
      <w:r>
        <w:t>Voditelj računovodstva:</w:t>
      </w:r>
    </w:p>
    <w:p w14:paraId="35938F80" w14:textId="55004939" w:rsidR="004F5041" w:rsidRDefault="004F5041" w:rsidP="004F5041">
      <w:r>
        <w:t xml:space="preserve">                                                                                               </w:t>
      </w:r>
      <w:r w:rsidR="00F82CD8">
        <w:t xml:space="preserve">                   Vesna Arapović</w:t>
      </w:r>
      <w:bookmarkStart w:id="0" w:name="_GoBack"/>
      <w:bookmarkEnd w:id="0"/>
    </w:p>
    <w:sectPr w:rsidR="004F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Banner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02"/>
    <w:multiLevelType w:val="hybridMultilevel"/>
    <w:tmpl w:val="1BAA9C90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B4EF1"/>
    <w:multiLevelType w:val="hybridMultilevel"/>
    <w:tmpl w:val="0F520608"/>
    <w:lvl w:ilvl="0" w:tplc="B046E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A5D"/>
    <w:multiLevelType w:val="hybridMultilevel"/>
    <w:tmpl w:val="7E005C0C"/>
    <w:lvl w:ilvl="0" w:tplc="4EF81694">
      <w:start w:val="1"/>
      <w:numFmt w:val="bullet"/>
      <w:lvlText w:val="-"/>
      <w:lvlJc w:val="left"/>
      <w:pPr>
        <w:ind w:left="1440" w:hanging="360"/>
      </w:pPr>
      <w:rPr>
        <w:rFonts w:ascii="Sitka Banner" w:eastAsiaTheme="minorHAnsi" w:hAnsi="Sitka Banner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72BD4"/>
    <w:multiLevelType w:val="hybridMultilevel"/>
    <w:tmpl w:val="F0B62492"/>
    <w:lvl w:ilvl="0" w:tplc="65ECA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41"/>
    <w:rsid w:val="00014DE6"/>
    <w:rsid w:val="000951ED"/>
    <w:rsid w:val="001C76A3"/>
    <w:rsid w:val="00333F96"/>
    <w:rsid w:val="00352398"/>
    <w:rsid w:val="0040636C"/>
    <w:rsid w:val="004B0856"/>
    <w:rsid w:val="004F1306"/>
    <w:rsid w:val="004F5041"/>
    <w:rsid w:val="0057014D"/>
    <w:rsid w:val="005A7A54"/>
    <w:rsid w:val="005E2836"/>
    <w:rsid w:val="006B4F4A"/>
    <w:rsid w:val="00733122"/>
    <w:rsid w:val="0084038C"/>
    <w:rsid w:val="008763DD"/>
    <w:rsid w:val="00C32353"/>
    <w:rsid w:val="00E05DB2"/>
    <w:rsid w:val="00EE2BF4"/>
    <w:rsid w:val="00F35A19"/>
    <w:rsid w:val="00F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D15C"/>
  <w15:docId w15:val="{C07AE6EC-6921-4461-B6DD-4F77E527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50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3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3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C44-ACD7-45E7-AFA6-8AE878C4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OGŠ Metković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Pažin</dc:creator>
  <cp:lastModifiedBy>Vesa Pažin</cp:lastModifiedBy>
  <cp:revision>5</cp:revision>
  <cp:lastPrinted>2024-03-27T10:57:00Z</cp:lastPrinted>
  <dcterms:created xsi:type="dcterms:W3CDTF">2025-03-28T07:44:00Z</dcterms:created>
  <dcterms:modified xsi:type="dcterms:W3CDTF">2025-04-10T10:38:00Z</dcterms:modified>
</cp:coreProperties>
</file>